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03407">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济宁高新区科技创新局</w:t>
      </w:r>
      <w:r>
        <w:rPr>
          <w:rFonts w:hint="default" w:ascii="Times New Roman" w:hAnsi="Times New Roman" w:eastAsia="方正小标宋简体" w:cs="Times New Roman"/>
          <w:b/>
          <w:color w:val="000000"/>
          <w:sz w:val="44"/>
          <w:szCs w:val="44"/>
        </w:rPr>
        <w:t>202</w:t>
      </w:r>
      <w:r>
        <w:rPr>
          <w:rFonts w:hint="eastAsia" w:ascii="Times New Roman" w:hAnsi="Times New Roman"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w:t>
      </w:r>
    </w:p>
    <w:p w14:paraId="6B8F17B2">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公开工作年度报告</w:t>
      </w:r>
    </w:p>
    <w:p w14:paraId="14B124B8">
      <w:pPr>
        <w:rPr>
          <w:rFonts w:hint="default" w:ascii="Times New Roman" w:hAnsi="Times New Roman" w:cs="Times New Roman"/>
        </w:rPr>
      </w:pPr>
    </w:p>
    <w:p w14:paraId="7B93CC62">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本报告由济宁高新区科技创新局按照《中华人民共和国政府信息公开条例》（以下简称《条例》）和《中华人民共和国政府信息公开工作年度报告格式》（国办公开办函〔2021〕30号）要求编制。</w:t>
      </w:r>
    </w:p>
    <w:p w14:paraId="167F4D6F">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4C03495B">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本报告所列数据的统计期限自2024年1月1日起至2024年12月31日止。</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本报告电子版可在“济宁国家高新技术产业开发区”管委会门户网站（http://www.jnhn.gov.cn）查阅或下载。如对本报告有疑问，请与济宁高新区科技创新局联系（济宁高新区海川路产学研基地T2栋10楼，联系电话：0537-3255911）。</w:t>
      </w:r>
    </w:p>
    <w:p w14:paraId="5D042C8D">
      <w:pPr>
        <w:spacing w:line="600" w:lineRule="exact"/>
        <w:ind w:firstLine="643" w:firstLineChars="200"/>
        <w:rPr>
          <w:rFonts w:hint="eastAsia" w:ascii="黑体" w:hAnsi="黑体" w:eastAsia="黑体" w:cs="黑体"/>
          <w:i w:val="0"/>
          <w:iCs w:val="0"/>
          <w:caps w:val="0"/>
          <w:color w:val="333333"/>
          <w:spacing w:val="0"/>
          <w:sz w:val="24"/>
          <w:szCs w:val="24"/>
        </w:rPr>
      </w:pPr>
      <w:r>
        <w:rPr>
          <w:rFonts w:hint="eastAsia" w:ascii="黑体" w:hAnsi="黑体" w:eastAsia="黑体" w:cs="黑体"/>
          <w:b/>
          <w:bCs/>
          <w:sz w:val="32"/>
          <w:szCs w:val="32"/>
        </w:rPr>
        <w:t>一、总体情况</w:t>
      </w:r>
    </w:p>
    <w:p w14:paraId="76B4B1A1">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4</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年，</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济宁</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高新区</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科技创新局</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按照党工委、管委会关于全面推进政务公开工作的安排部署，深入贯彻落实《中华人民共和国政府信息公开条例》和《山东省政府信息公开办法》要求，切实加强组织领导，不断健全完善政务信息公开工作制度，</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力争</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积极、有序地推进科技创新政务公开工作。</w:t>
      </w:r>
    </w:p>
    <w:p w14:paraId="025E74F5">
      <w:pPr>
        <w:numPr>
          <w:ilvl w:val="0"/>
          <w:numId w:val="1"/>
        </w:numPr>
        <w:ind w:left="-13" w:leftChars="0" w:firstLine="643" w:firstLineChars="0"/>
        <w:rPr>
          <w:rStyle w:val="5"/>
          <w:rFonts w:hint="default" w:ascii="方正楷体简体" w:hAnsi="方正楷体简体" w:eastAsia="方正楷体简体" w:cs="方正楷体简体"/>
          <w:b/>
          <w:bCs w:val="0"/>
          <w:i w:val="0"/>
          <w:iCs w:val="0"/>
          <w:caps w:val="0"/>
          <w:color w:val="auto"/>
          <w:spacing w:val="0"/>
          <w:sz w:val="32"/>
          <w:szCs w:val="32"/>
          <w:lang w:eastAsia="zh-CN"/>
        </w:rPr>
      </w:pPr>
      <w:r>
        <w:rPr>
          <w:rStyle w:val="5"/>
          <w:rFonts w:hint="default" w:ascii="方正楷体简体" w:hAnsi="方正楷体简体" w:eastAsia="方正楷体简体" w:cs="方正楷体简体"/>
          <w:b/>
          <w:bCs w:val="0"/>
          <w:i w:val="0"/>
          <w:iCs w:val="0"/>
          <w:caps w:val="0"/>
          <w:color w:val="auto"/>
          <w:spacing w:val="0"/>
          <w:sz w:val="32"/>
          <w:szCs w:val="32"/>
          <w:lang w:eastAsia="zh-CN"/>
        </w:rPr>
        <w:t>主动公开情况</w:t>
      </w:r>
    </w:p>
    <w:p w14:paraId="0BBB4D80">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济宁高新区科技创新局</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紧紧围绕政务公开工作部署要求，加强组织领导，扎实推进政务公开工作，坚持以公开为常态的原则，2024年度部门</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会议公开12次，年度重点工作落实</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公开12次，</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主动公开基本目录</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1次，</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信息公开年报</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1次，</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回复政务热线</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48</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条，</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其他信息发布54</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篇。</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做到了事事有回音、件件有答复。</w:t>
      </w:r>
    </w:p>
    <w:p w14:paraId="0CAA9901">
      <w:pPr>
        <w:numPr>
          <w:ilvl w:val="0"/>
          <w:numId w:val="1"/>
        </w:numPr>
        <w:ind w:left="-13" w:leftChars="0" w:firstLine="643" w:firstLineChars="0"/>
        <w:rPr>
          <w:rStyle w:val="5"/>
          <w:rFonts w:hint="default" w:ascii="方正楷体简体" w:hAnsi="方正楷体简体" w:eastAsia="方正楷体简体" w:cs="方正楷体简体"/>
          <w:b/>
          <w:bCs w:val="0"/>
          <w:i w:val="0"/>
          <w:iCs w:val="0"/>
          <w:caps w:val="0"/>
          <w:color w:val="auto"/>
          <w:spacing w:val="0"/>
          <w:sz w:val="32"/>
          <w:szCs w:val="32"/>
          <w:lang w:eastAsia="zh-CN"/>
        </w:rPr>
      </w:pPr>
      <w:r>
        <w:rPr>
          <w:rStyle w:val="5"/>
          <w:rFonts w:hint="default" w:ascii="方正楷体简体" w:hAnsi="方正楷体简体" w:eastAsia="方正楷体简体" w:cs="方正楷体简体"/>
          <w:b/>
          <w:bCs w:val="0"/>
          <w:i w:val="0"/>
          <w:iCs w:val="0"/>
          <w:caps w:val="0"/>
          <w:color w:val="auto"/>
          <w:spacing w:val="0"/>
          <w:sz w:val="32"/>
          <w:szCs w:val="32"/>
          <w:lang w:val="en-US"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57150</wp:posOffset>
            </wp:positionV>
            <wp:extent cx="5256530" cy="2988310"/>
            <wp:effectExtent l="5080" t="4445" r="15240" b="17145"/>
            <wp:wrapSquare wrapText="bothSides"/>
            <wp:docPr id="3" name="图表 3"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Style w:val="5"/>
          <w:rFonts w:hint="default" w:ascii="方正楷体简体" w:hAnsi="方正楷体简体" w:eastAsia="方正楷体简体" w:cs="方正楷体简体"/>
          <w:b/>
          <w:bCs w:val="0"/>
          <w:i w:val="0"/>
          <w:iCs w:val="0"/>
          <w:caps w:val="0"/>
          <w:color w:val="auto"/>
          <w:spacing w:val="0"/>
          <w:sz w:val="32"/>
          <w:szCs w:val="32"/>
          <w:lang w:eastAsia="zh-CN"/>
        </w:rPr>
        <w:t>依申请公开情况</w:t>
      </w:r>
    </w:p>
    <w:p w14:paraId="5B95F37C">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4</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年度，科技创新局未收到依申请公开政府信息。</w:t>
      </w:r>
    </w:p>
    <w:p w14:paraId="38A9FFA2">
      <w:pPr>
        <w:numPr>
          <w:ilvl w:val="0"/>
          <w:numId w:val="1"/>
        </w:numPr>
        <w:ind w:left="-13" w:leftChars="0" w:firstLine="643" w:firstLineChars="0"/>
        <w:rPr>
          <w:rStyle w:val="5"/>
          <w:rFonts w:hint="default" w:ascii="方正楷体简体" w:hAnsi="方正楷体简体" w:eastAsia="方正楷体简体" w:cs="方正楷体简体"/>
          <w:b/>
          <w:bCs w:val="0"/>
          <w:i w:val="0"/>
          <w:iCs w:val="0"/>
          <w:caps w:val="0"/>
          <w:color w:val="auto"/>
          <w:spacing w:val="0"/>
          <w:sz w:val="32"/>
          <w:szCs w:val="32"/>
          <w:lang w:eastAsia="zh-CN"/>
        </w:rPr>
      </w:pPr>
      <w:r>
        <w:rPr>
          <w:rStyle w:val="5"/>
          <w:rFonts w:hint="default" w:ascii="方正楷体简体" w:hAnsi="方正楷体简体" w:eastAsia="方正楷体简体" w:cs="方正楷体简体"/>
          <w:b/>
          <w:bCs w:val="0"/>
          <w:i w:val="0"/>
          <w:iCs w:val="0"/>
          <w:caps w:val="0"/>
          <w:color w:val="auto"/>
          <w:spacing w:val="0"/>
          <w:sz w:val="32"/>
          <w:szCs w:val="32"/>
          <w:lang w:eastAsia="zh-CN"/>
        </w:rPr>
        <w:t>政府信息管理情况</w:t>
      </w:r>
    </w:p>
    <w:p w14:paraId="411F95C7">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严格按照《条例》的有关要求，建立健全信息公开的制度和机制，确定责任领导和责任人，进一步完善信息主动公开目录，明确政府信息公开范围、内容以及公开形式，坚持依法依规做好信息公开；严格遵守“谁公开、谁审查，谁审查、谁负责”、“先审查、后公开”和“一事一审”原则，建立完善逐级审查制度，严格履行保密审查程序，确保政府信息公开工作安全。</w:t>
      </w:r>
    </w:p>
    <w:p w14:paraId="39738E94">
      <w:pPr>
        <w:numPr>
          <w:ilvl w:val="0"/>
          <w:numId w:val="1"/>
        </w:numPr>
        <w:ind w:left="-13" w:leftChars="0" w:firstLine="643" w:firstLineChars="0"/>
        <w:rPr>
          <w:rStyle w:val="5"/>
          <w:rFonts w:hint="default" w:ascii="方正楷体简体" w:hAnsi="方正楷体简体" w:eastAsia="方正楷体简体" w:cs="方正楷体简体"/>
          <w:b/>
          <w:bCs w:val="0"/>
          <w:i w:val="0"/>
          <w:iCs w:val="0"/>
          <w:caps w:val="0"/>
          <w:color w:val="auto"/>
          <w:spacing w:val="0"/>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政府信息公开平台建设情况</w:t>
      </w:r>
    </w:p>
    <w:p w14:paraId="0B42D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left"/>
        <w:rPr>
          <w:rFonts w:hint="eastAsia" w:ascii="Times New Roman" w:hAnsi="Times New Roman" w:eastAsia="仿宋_GB2312" w:cs="Times New Roman"/>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发挥</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管委会网站信息公开</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主阵地作用，</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全面提高科技创新局政务信息公开服务水平，利用“济宁高新科技中心”公众号发布科技馆的日常运营信息、活动预告等信息，使公众能够及时了解科技馆的最新动态，提升政府的透明度。</w:t>
      </w:r>
    </w:p>
    <w:p w14:paraId="47090C9A">
      <w:pPr>
        <w:numPr>
          <w:ilvl w:val="0"/>
          <w:numId w:val="1"/>
        </w:numPr>
        <w:ind w:left="-13" w:leftChars="0" w:firstLine="643" w:firstLineChars="0"/>
        <w:rPr>
          <w:rStyle w:val="5"/>
          <w:rFonts w:hint="eastAsia" w:ascii="方正楷体简体" w:hAnsi="方正楷体简体" w:eastAsia="方正楷体简体" w:cs="方正楷体简体"/>
          <w:b/>
          <w:bCs w:val="0"/>
          <w:i w:val="0"/>
          <w:iCs w:val="0"/>
          <w:caps w:val="0"/>
          <w:color w:val="auto"/>
          <w:spacing w:val="0"/>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监督保障情况</w:t>
      </w:r>
    </w:p>
    <w:p w14:paraId="760C09A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为进一步加强政务公开监督管理，确保各项政务公开工作落到实处，</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济宁高新区科技创新局建立常态化培训制度，组织相关</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处</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室人员进行业务培训，提升业务水平，局综合处具体承办，综合处设置一名专职人员具体办理政务信息审批单的收集及政务信息的上传工作，负责政府信息公开内容上报、更新、维护、组织协调等日常工作</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，保证政务公开工作有组织、有计划、有步骤地推进。</w:t>
      </w:r>
    </w:p>
    <w:p w14:paraId="32656A04">
      <w:pPr>
        <w:spacing w:line="600" w:lineRule="exac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14:paraId="3EA08C8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8A0D5FA">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55B1E98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85637E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5AD17BD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79AE0729">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54CB06A1">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28C0B58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340E79D">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4D7ED618">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2AEF502">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B8B8F9B">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17C9E8D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CA3FC15">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3ED8B08A">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196AAE9D">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4BBAEF1">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w:t>
            </w:r>
          </w:p>
        </w:tc>
      </w:tr>
      <w:tr w14:paraId="552219E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D9D2F2">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116547D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F39BDF0">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00933C9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A01732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50EABD8">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2FE2846">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77C0EF8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6F9F7A1">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77FEA43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B03F71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1A4A66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C5C1A0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EE8AC6">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3EC58715">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51D2BC0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D05E303">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69567201">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2D938D2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837DADB">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6AA9C52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516A274">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764905E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0E726E7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D675FDE">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7FD9C22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bl>
    <w:p w14:paraId="3B7761BC">
      <w:pPr>
        <w:spacing w:line="600" w:lineRule="exact"/>
        <w:ind w:firstLine="640" w:firstLineChars="200"/>
        <w:rPr>
          <w:rFonts w:hint="default" w:ascii="Times New Roman" w:hAnsi="Times New Roman" w:eastAsia="仿宋_GB2312" w:cs="Times New Roman"/>
          <w:sz w:val="32"/>
          <w:szCs w:val="32"/>
        </w:rPr>
      </w:pPr>
    </w:p>
    <w:p w14:paraId="4CA3C9D6">
      <w:pPr>
        <w:spacing w:line="600" w:lineRule="exact"/>
        <w:ind w:firstLine="643" w:firstLineChars="200"/>
        <w:rPr>
          <w:rFonts w:hint="default" w:ascii="Times New Roman" w:hAnsi="Times New Roman" w:eastAsia="仿宋_GB2312" w:cs="Times New Roman"/>
          <w:sz w:val="32"/>
          <w:szCs w:val="32"/>
        </w:rPr>
      </w:pPr>
      <w:r>
        <w:rPr>
          <w:rFonts w:hint="default" w:ascii="黑体" w:hAnsi="黑体" w:eastAsia="黑体" w:cs="黑体"/>
          <w:b/>
          <w:bCs/>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438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39DFB836">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6E8132F4">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14:paraId="644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5D3BA732">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14:paraId="593E9E8D">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108" w:type="dxa"/>
              <w:right w:w="108" w:type="dxa"/>
            </w:tcMar>
            <w:vAlign w:val="center"/>
          </w:tcPr>
          <w:p w14:paraId="191C6239">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108" w:type="dxa"/>
              <w:right w:w="108" w:type="dxa"/>
            </w:tcMar>
            <w:vAlign w:val="center"/>
          </w:tcPr>
          <w:p w14:paraId="2E4ECBEF">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14:paraId="444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6324B57">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14:paraId="3673396E">
            <w:pPr>
              <w:spacing w:line="300" w:lineRule="exact"/>
              <w:rPr>
                <w:rFonts w:hint="default" w:ascii="Times New Roman" w:hAnsi="Times New Roman" w:eastAsia="方正仿宋简体" w:cs="Times New Roman"/>
                <w:b/>
                <w:sz w:val="21"/>
                <w:szCs w:val="21"/>
              </w:rPr>
            </w:pPr>
          </w:p>
        </w:tc>
        <w:tc>
          <w:tcPr>
            <w:tcW w:w="599" w:type="dxa"/>
            <w:noWrap w:val="0"/>
            <w:tcMar>
              <w:left w:w="108" w:type="dxa"/>
              <w:right w:w="108" w:type="dxa"/>
            </w:tcMar>
            <w:vAlign w:val="center"/>
          </w:tcPr>
          <w:p w14:paraId="162004DD">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14:paraId="60783069">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108" w:type="dxa"/>
              <w:right w:w="108" w:type="dxa"/>
            </w:tcMar>
            <w:vAlign w:val="center"/>
          </w:tcPr>
          <w:p w14:paraId="5072B56A">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14:paraId="6B305C6C">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108" w:type="dxa"/>
              <w:right w:w="108" w:type="dxa"/>
            </w:tcMar>
            <w:vAlign w:val="center"/>
          </w:tcPr>
          <w:p w14:paraId="7C79B300">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108" w:type="dxa"/>
              <w:right w:w="108" w:type="dxa"/>
            </w:tcMar>
            <w:vAlign w:val="center"/>
          </w:tcPr>
          <w:p w14:paraId="2D831C5A">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108" w:type="dxa"/>
              <w:right w:w="108" w:type="dxa"/>
            </w:tcMar>
            <w:vAlign w:val="center"/>
          </w:tcPr>
          <w:p w14:paraId="04C966CF">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108" w:type="dxa"/>
              <w:right w:w="108" w:type="dxa"/>
            </w:tcMar>
            <w:vAlign w:val="center"/>
          </w:tcPr>
          <w:p w14:paraId="5C034709">
            <w:pPr>
              <w:spacing w:line="300" w:lineRule="exact"/>
              <w:rPr>
                <w:rFonts w:hint="default" w:ascii="Times New Roman" w:hAnsi="Times New Roman" w:eastAsia="方正仿宋简体" w:cs="Times New Roman"/>
                <w:b/>
                <w:sz w:val="21"/>
                <w:szCs w:val="21"/>
              </w:rPr>
            </w:pPr>
          </w:p>
        </w:tc>
      </w:tr>
      <w:tr w14:paraId="4EA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32BA47AC">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14:paraId="6CDC44C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1E5CCC97">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08913B4C">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3912A22">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158D209">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51F32ED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41535848">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2AE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55458BB8">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14:paraId="0F7C623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65ABCEE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4B97D8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609A2BC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51E438B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0C18EE7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39AFA4A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64F4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C2306B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14:paraId="3252E471">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14:paraId="73AB67F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65EE14A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70C38CE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1902830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535AF46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1F08375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33E0501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2A8D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F72D9D2">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14:paraId="3FB858E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14:paraId="1787ADD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0CA4B32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3057B6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287FCD1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4C6ECCB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2C64354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72D7A59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8E9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7376C1">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45BCD59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14:paraId="4BCFAA18">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14:paraId="5B85E82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03AC3C75">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5745D36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3FDA73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401E12D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048D7F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7E7CB29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A9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C307EC9">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937CD4B">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215FA79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14:paraId="191493F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1C884D1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F43AD1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6504804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4AB9D6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184A098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29CFB345">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7691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B4A8732">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4D2041EF">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2D1956FD">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14:paraId="4C185CD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501BA52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4C4F38F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50FC620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0A6982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0CBB6D7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3E20ABE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6E6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639AE52">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34709DC">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64648991">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14:paraId="4B93604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1506C13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512E638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06652FF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27018B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00EE6B3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0619626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9FA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FBC2C5A">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4A0B1A1B">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529D71E6">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14:paraId="3029267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41143E5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3156DA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3C4065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7809AC3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5B01412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036C2DA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7C68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2C062D6">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6943CC75">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4D74C66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14:paraId="7301B30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2731DBC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4F892AE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5F95BC65">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72D7F35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0BC7163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20D6D28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1ECC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DD51910">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21342933">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142777C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14:paraId="247810D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059EA125">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60F3C55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1100BD9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A98B5C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C4770A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58829E3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7533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44BA435">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7385DA9">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37EB0964">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14:paraId="3EE984F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1C75FB4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03FC779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E9AF3C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C82480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EDD4E6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0CD1635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52D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DD4B8E4">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5C12565E">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14:paraId="04EB65EF">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14:paraId="34E888A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54622A7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369D05F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53F31AF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11C9E1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09F011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4F07A5D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3EEE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D20417">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4981049C">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0BAB8498">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14:paraId="4532F92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027EF81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3E6CE5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1DDF9C2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628C41A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17D49C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5D4328D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030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CE08FC4">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07FA5E1F">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0234BD16">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14:paraId="38F5BD1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7D6689B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4C7AE2B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269A5B8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6388F2E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5201581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3244B60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2176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3121A1D">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012E830E">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14:paraId="6F665153">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14:paraId="55D2304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43125B9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65B5D44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3376072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6598E2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A16E9F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289238E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1C76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81D0265">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5235DFE1">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35C010E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14:paraId="0A65DD8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0953E56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5197394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B2742E7">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6AA46AF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A3DC0B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657EA2D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C31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D572E2">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C506BFE">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3B53162A">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14:paraId="338DD09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09EAE16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0F9FB1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07DDFD8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2DC0B1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598D76F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6E4C5B6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6D7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B3DD433">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7B265EDB">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14:paraId="6B45A01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14:paraId="0FCF99D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77E59DB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11C5EED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45A009A0">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BDC26F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6C91177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5F3C0F6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415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2E63CEE7">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1F6FB88D">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14:paraId="2A992A28">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14:paraId="19D49A0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342EFB6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87D1AC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58530FD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7181EB9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07E012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288469C1">
            <w:pPr>
              <w:widowControl/>
              <w:spacing w:line="300" w:lineRule="exact"/>
              <w:jc w:val="center"/>
              <w:rPr>
                <w:rFonts w:hint="default" w:ascii="Times New Roman" w:hAnsi="Times New Roman" w:eastAsia="方正仿宋简体" w:cs="Times New Roman"/>
                <w:b/>
                <w:sz w:val="21"/>
                <w:szCs w:val="21"/>
                <w:lang w:val="en-US" w:eastAsia="zh-CN" w:bidi="ar"/>
              </w:rPr>
            </w:pPr>
          </w:p>
          <w:p w14:paraId="39C3BFA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14:paraId="7CB7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30ED9E5">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14:paraId="40CD0BB8">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14:paraId="1EADACCA">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1713B579">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14:paraId="3471AA5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3B429D8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1C926BD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11B9F1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35BF30F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14:paraId="72125C4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1F3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6E673E3">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4235FF4A">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14:paraId="6DA66645">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7285F2F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79897696">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D64D2B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3EF72C1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32063FEB">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4F387F8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5C032BC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14:paraId="2BF0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9D113E9">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14:paraId="69EEBDFB">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14:paraId="6324F05E">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14:paraId="0BAA8C1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5047671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79DF5143">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76D431A4">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64939788">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53136D11">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1C09995E">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14:paraId="74CC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6A44F69">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14:paraId="730AD253">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14:paraId="6E64A33C">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1342B21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BEFE1C5">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4D0DFD7D">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41AA578A">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5794CAA2">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353B331F">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14:paraId="486E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6F1F8EE9">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14:paraId="560D84BC">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14:paraId="50F6063A">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14:paraId="2FC31D7E">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14:paraId="4FA2A0EA">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14:paraId="1CE865C4">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14:paraId="0D388CBC">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14:paraId="6BCC1594">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14:paraId="09BE776A">
      <w:pPr>
        <w:spacing w:line="600" w:lineRule="exact"/>
        <w:rPr>
          <w:rFonts w:hint="default" w:ascii="Times New Roman" w:hAnsi="Times New Roman" w:eastAsia="仿宋_GB2312" w:cs="Times New Roman"/>
          <w:b/>
          <w:bCs/>
          <w:sz w:val="32"/>
          <w:szCs w:val="32"/>
        </w:rPr>
      </w:pPr>
    </w:p>
    <w:p w14:paraId="6398D543">
      <w:pPr>
        <w:spacing w:line="600" w:lineRule="exact"/>
        <w:ind w:firstLine="643" w:firstLineChars="200"/>
        <w:rPr>
          <w:rFonts w:hint="default" w:ascii="黑体" w:hAnsi="黑体" w:eastAsia="黑体" w:cs="黑体"/>
          <w:b/>
          <w:bCs/>
          <w:sz w:val="32"/>
          <w:szCs w:val="32"/>
        </w:rPr>
      </w:pPr>
      <w:r>
        <w:rPr>
          <w:rFonts w:hint="eastAsia" w:ascii="黑体" w:hAnsi="黑体" w:eastAsia="黑体" w:cs="黑体"/>
          <w:b/>
          <w:bCs/>
          <w:sz w:val="32"/>
          <w:szCs w:val="32"/>
          <w:lang w:val="en-US" w:eastAsia="zh-CN"/>
        </w:rPr>
        <w:t>四、</w:t>
      </w:r>
      <w:r>
        <w:rPr>
          <w:rFonts w:hint="default" w:ascii="黑体" w:hAnsi="黑体" w:eastAsia="黑体" w:cs="黑体"/>
          <w:b/>
          <w:bCs/>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B6717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F65165">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9C50CF7">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14:paraId="7B4740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59971F">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35A979D7">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2E4E3AD6">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4FF1913">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204B118">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39437999">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DCDC692">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14:paraId="6B6C65E3">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A2FA759">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84B7C29">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14:paraId="1C577C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3EA73EF">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C123DD2">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60F1792">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DE1E04E">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D81102C">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AAC174C">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143AB9B">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6345C2">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314B8371">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26B4FC">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242EA6B6">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A798B4C">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78755A2">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E789917">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4606FE94">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51312F2">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22497E32">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823B85">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DA15315">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14:paraId="306B89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2D05E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08FD382">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7B2C3BA">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3891CDD">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6FA02A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18A71E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7A92D38">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607D8B2">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AFCA48F">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6CEFE43">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43811ED">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51C3DD1">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9B4D2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8B960D8">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DAABCFD">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14:paraId="69D8B51A">
      <w:pPr>
        <w:numPr>
          <w:ilvl w:val="0"/>
          <w:numId w:val="2"/>
        </w:numPr>
        <w:spacing w:line="600" w:lineRule="exact"/>
        <w:ind w:firstLine="643" w:firstLineChars="200"/>
        <w:rPr>
          <w:rFonts w:hint="default" w:ascii="黑体" w:hAnsi="黑体" w:eastAsia="黑体" w:cs="黑体"/>
          <w:b/>
          <w:bCs/>
          <w:sz w:val="32"/>
          <w:szCs w:val="32"/>
        </w:rPr>
      </w:pPr>
      <w:r>
        <w:rPr>
          <w:rFonts w:hint="default" w:ascii="黑体" w:hAnsi="黑体" w:eastAsia="黑体" w:cs="黑体"/>
          <w:b/>
          <w:bCs/>
          <w:sz w:val="32"/>
          <w:szCs w:val="32"/>
        </w:rPr>
        <w:t>存在的主要问题及改进情况</w:t>
      </w:r>
    </w:p>
    <w:p w14:paraId="17832B3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2023</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年度科技创新局信息公开工作存在的问题已整改完成，针对政务公开意识不足、信息公开方式不够丰富等问题，首先在提高认识上下功夫，通过多种形式，组织</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干</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部重点学习《中华人民共和国政府信息公开条例》等有关政务公开的法律、法规和政策，充分认识到</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了</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政务公开的重要性，并结合网站、</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“济宁高新科技中心”</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公众号等多种公开渠道，丰富</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了</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政务公开形式。</w:t>
      </w:r>
    </w:p>
    <w:p w14:paraId="18309A5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4</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年，</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科技创新</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局政务公开工作虽取得了一定的成绩，但仍然还有不足和需要改进的问题，如对主动公开的信息内容的理解和把握不够，对各项政策的理解不能灵活运用，发布的政务信息质量不够高</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信息公开内容展示形式不够丰富等。下一步，</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科技创新局</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将继续围绕党工委、管委会关于政务公开工作部署，</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进一步加强政务公开工作规范，</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提高对信息公开工作重要性的认识，同时加强对信息公开工作人员的培训，提高其业务能力和水平，扎实开展政务信息公开工作。</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明确公开重点内容、时限、责任处室，创新公开内容、形式、图表，力争政务公开工作再上一个台阶。</w:t>
      </w:r>
    </w:p>
    <w:p w14:paraId="5493EFA9">
      <w:pPr>
        <w:spacing w:line="600" w:lineRule="exact"/>
        <w:ind w:firstLine="643" w:firstLineChars="200"/>
        <w:rPr>
          <w:rFonts w:hint="default" w:ascii="黑体" w:hAnsi="黑体" w:eastAsia="黑体" w:cs="黑体"/>
          <w:b/>
          <w:bCs/>
          <w:sz w:val="32"/>
          <w:szCs w:val="32"/>
        </w:rPr>
      </w:pPr>
      <w:r>
        <w:rPr>
          <w:rFonts w:hint="default" w:ascii="黑体" w:hAnsi="黑体" w:eastAsia="黑体" w:cs="黑体"/>
          <w:b/>
          <w:bCs/>
          <w:sz w:val="32"/>
          <w:szCs w:val="32"/>
        </w:rPr>
        <w:t>六、其他需要报告的事项</w:t>
      </w:r>
    </w:p>
    <w:p w14:paraId="32692090">
      <w:pPr>
        <w:numPr>
          <w:ilvl w:val="0"/>
          <w:numId w:val="3"/>
        </w:numPr>
        <w:ind w:left="-13" w:leftChars="0" w:firstLine="643" w:firstLineChars="0"/>
        <w:rPr>
          <w:rStyle w:val="5"/>
          <w:rFonts w:hint="default" w:ascii="方正楷体简体" w:hAnsi="方正楷体简体" w:eastAsia="方正楷体简体" w:cs="方正楷体简体"/>
          <w:b/>
          <w:bCs w:val="0"/>
          <w:i w:val="0"/>
          <w:iCs w:val="0"/>
          <w:caps w:val="0"/>
          <w:color w:val="auto"/>
          <w:spacing w:val="0"/>
          <w:sz w:val="32"/>
          <w:szCs w:val="32"/>
          <w:lang w:val="en-US" w:eastAsia="zh-CN"/>
        </w:rPr>
      </w:pPr>
      <w:r>
        <w:rPr>
          <w:rStyle w:val="5"/>
          <w:rFonts w:hint="default" w:ascii="方正楷体简体" w:hAnsi="方正楷体简体" w:eastAsia="方正楷体简体" w:cs="方正楷体简体"/>
          <w:b/>
          <w:bCs w:val="0"/>
          <w:i w:val="0"/>
          <w:iCs w:val="0"/>
          <w:caps w:val="0"/>
          <w:color w:val="auto"/>
          <w:spacing w:val="0"/>
          <w:sz w:val="32"/>
          <w:szCs w:val="32"/>
          <w:lang w:val="en-US" w:eastAsia="zh-CN"/>
        </w:rPr>
        <w:t>依据《政府信息公开信息处理费管理办法》收取信息处理费的情况需在此专门报告</w:t>
      </w: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w:t>
      </w:r>
    </w:p>
    <w:p w14:paraId="7DC1BB0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本年度无收取信息处理费情况。</w:t>
      </w:r>
    </w:p>
    <w:p w14:paraId="3AB3FF13">
      <w:pPr>
        <w:numPr>
          <w:ilvl w:val="0"/>
          <w:numId w:val="3"/>
        </w:numPr>
        <w:ind w:left="-13" w:leftChars="0" w:firstLine="643" w:firstLineChars="0"/>
        <w:rPr>
          <w:rStyle w:val="5"/>
          <w:rFonts w:hint="default" w:ascii="方正楷体简体" w:hAnsi="方正楷体简体" w:eastAsia="方正楷体简体" w:cs="方正楷体简体"/>
          <w:b/>
          <w:bCs w:val="0"/>
          <w:i w:val="0"/>
          <w:iCs w:val="0"/>
          <w:caps w:val="0"/>
          <w:color w:val="auto"/>
          <w:spacing w:val="0"/>
          <w:sz w:val="32"/>
          <w:szCs w:val="32"/>
          <w:lang w:val="en-US" w:eastAsia="zh-CN"/>
        </w:rPr>
      </w:pPr>
      <w:r>
        <w:rPr>
          <w:rStyle w:val="5"/>
          <w:rFonts w:hint="default" w:ascii="方正楷体简体" w:hAnsi="方正楷体简体" w:eastAsia="方正楷体简体" w:cs="方正楷体简体"/>
          <w:b/>
          <w:bCs w:val="0"/>
          <w:i w:val="0"/>
          <w:iCs w:val="0"/>
          <w:caps w:val="0"/>
          <w:color w:val="auto"/>
          <w:spacing w:val="0"/>
          <w:sz w:val="32"/>
          <w:szCs w:val="32"/>
          <w:lang w:val="en-US" w:eastAsia="zh-CN"/>
        </w:rPr>
        <w:t>本行政机关落实上级年度政务公开工作要点情况</w:t>
      </w: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w:t>
      </w:r>
    </w:p>
    <w:p w14:paraId="505D27C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认真贯彻落实上级年度政务公开工作要点，持续提升政务公开标准化、规范化水平，充分发挥以公开促落实、促服务作用，进一步提高信息公开工作的质量和效率。</w:t>
      </w:r>
    </w:p>
    <w:p w14:paraId="195ECF2C">
      <w:pPr>
        <w:numPr>
          <w:ilvl w:val="0"/>
          <w:numId w:val="3"/>
        </w:numPr>
        <w:ind w:left="-13" w:leftChars="0" w:firstLine="643" w:firstLineChars="0"/>
        <w:rPr>
          <w:rStyle w:val="5"/>
          <w:rFonts w:hint="eastAsia" w:ascii="方正楷体简体" w:hAnsi="方正楷体简体" w:eastAsia="方正楷体简体" w:cs="方正楷体简体"/>
          <w:b/>
          <w:bCs w:val="0"/>
          <w:i w:val="0"/>
          <w:iCs w:val="0"/>
          <w:caps w:val="0"/>
          <w:color w:val="auto"/>
          <w:spacing w:val="0"/>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本行政机关人大代表建议和政协提案办理结果公开情况：</w:t>
      </w:r>
    </w:p>
    <w:p w14:paraId="7EE3761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2024年我部门未收到人大代表建议和政协提案。</w:t>
      </w:r>
    </w:p>
    <w:p w14:paraId="5BCB3CD3">
      <w:pPr>
        <w:ind w:firstLine="643" w:firstLineChars="200"/>
        <w:rPr>
          <w:rFonts w:hint="eastAsia" w:ascii="Times New Roman" w:hAnsi="Times New Roman" w:eastAsia="仿宋_GB2312" w:cs="Times New Roman"/>
          <w:kern w:val="2"/>
          <w:sz w:val="32"/>
          <w:szCs w:val="32"/>
          <w:lang w:val="en-US" w:eastAsia="zh-CN" w:bidi="ar-SA"/>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（四）其他有关文件专门要求通过政府信息公开工作年度报告予以报告的事项：</w:t>
      </w:r>
      <w:bookmarkStart w:id="0" w:name="_GoBack"/>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无。</w:t>
      </w:r>
      <w:bookmarkEnd w:id="0"/>
    </w:p>
    <w:p w14:paraId="714A86EE">
      <w:pPr>
        <w:ind w:firstLine="640" w:firstLineChars="200"/>
        <w:rPr>
          <w:rFonts w:hint="default"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CA70B8-6A72-4237-9EEB-45D5FECFD2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E2E77ABD-3B1F-4BD8-9971-6762A2FC5315}"/>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89839"/>
    <w:multiLevelType w:val="singleLevel"/>
    <w:tmpl w:val="82F89839"/>
    <w:lvl w:ilvl="0" w:tentative="0">
      <w:start w:val="5"/>
      <w:numFmt w:val="chineseCounting"/>
      <w:suff w:val="nothing"/>
      <w:lvlText w:val="%1、"/>
      <w:lvlJc w:val="left"/>
      <w:rPr>
        <w:rFonts w:hint="eastAsia"/>
      </w:rPr>
    </w:lvl>
  </w:abstractNum>
  <w:abstractNum w:abstractNumId="1">
    <w:nsid w:val="A02B9061"/>
    <w:multiLevelType w:val="singleLevel"/>
    <w:tmpl w:val="A02B9061"/>
    <w:lvl w:ilvl="0" w:tentative="0">
      <w:start w:val="1"/>
      <w:numFmt w:val="chineseCounting"/>
      <w:suff w:val="nothing"/>
      <w:lvlText w:val="（%1）"/>
      <w:lvlJc w:val="left"/>
      <w:pPr>
        <w:ind w:left="-13"/>
      </w:pPr>
      <w:rPr>
        <w:rFonts w:hint="eastAsia"/>
      </w:rPr>
    </w:lvl>
  </w:abstractNum>
  <w:abstractNum w:abstractNumId="2">
    <w:nsid w:val="FACE6D5E"/>
    <w:multiLevelType w:val="singleLevel"/>
    <w:tmpl w:val="FACE6D5E"/>
    <w:lvl w:ilvl="0" w:tentative="0">
      <w:start w:val="1"/>
      <w:numFmt w:val="chineseCounting"/>
      <w:suff w:val="nothing"/>
      <w:lvlText w:val="（%1）"/>
      <w:lvlJc w:val="left"/>
      <w:pPr>
        <w:ind w:left="-13"/>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79DC"/>
    <w:rsid w:val="0A8C7FBE"/>
    <w:rsid w:val="0D584A88"/>
    <w:rsid w:val="16730D17"/>
    <w:rsid w:val="18A97652"/>
    <w:rsid w:val="26113F4C"/>
    <w:rsid w:val="3AC00786"/>
    <w:rsid w:val="42395F96"/>
    <w:rsid w:val="4B2D2BE6"/>
    <w:rsid w:val="4F0F5604"/>
    <w:rsid w:val="5A0A2080"/>
    <w:rsid w:val="5C291399"/>
    <w:rsid w:val="5C8554FE"/>
    <w:rsid w:val="5CF4627F"/>
    <w:rsid w:val="615838CB"/>
    <w:rsid w:val="654A79DC"/>
    <w:rsid w:val="6A55371B"/>
    <w:rsid w:val="6AD87FF4"/>
    <w:rsid w:val="72F571CC"/>
    <w:rsid w:val="73F9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a:solidFill>
              <a:schemeClr val="accent1"/>
            </a:solidFill>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Pt>
            <c:idx val="5"/>
            <c:bubble3D val="0"/>
            <c:spPr>
              <a:solidFill>
                <a:schemeClr val="accent1"/>
              </a:solidFill>
              <a:ln w="12700">
                <a:noFill/>
              </a:ln>
              <a:effectLst/>
              <a:sp3d contourW="12700"/>
            </c:spPr>
          </c:dPt>
          <c:dLbls>
            <c:dLbl>
              <c:idx val="0"/>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tx1">
                            <a:lumMod val="50000"/>
                            <a:lumOff val="50000"/>
                          </a:schemeClr>
                        </a:solidFill>
                        <a:latin typeface="+mn-lt"/>
                        <a:ea typeface="+mn-ea"/>
                        <a:cs typeface="+mn-cs"/>
                      </a:defRPr>
                    </a:pPr>
                    <a:r>
                      <a:rPr lang="en-US" altLang="zh-CN"/>
                      <a:t>12</a:t>
                    </a:r>
                    <a:endParaRPr lang="en-US" altLang="zh-CN"/>
                  </a:p>
                </c:rich>
              </c:tx>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3"/>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4"/>
              <c:layout>
                <c:manualLayout>
                  <c:x val="-0.018120318917613"/>
                  <c:y val="0.0031874203144921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50000"/>
                            <a:lumOff val="50000"/>
                          </a:schemeClr>
                        </a:solidFill>
                        <a:latin typeface="+mn-lt"/>
                        <a:ea typeface="+mn-ea"/>
                        <a:cs typeface="+mn-cs"/>
                      </a:defRPr>
                    </a:pPr>
                    <a:r>
                      <a:t>5</a:t>
                    </a:r>
                    <a:r>
                      <a:rPr lang="en-US" altLang="zh-CN"/>
                      <a:t>4</a:t>
                    </a:r>
                    <a:endParaRPr lang="en-US" altLang="zh-CN"/>
                  </a:p>
                </c:rich>
              </c:tx>
              <c:dLblPos val="bestFit"/>
              <c:showLegendKey val="1"/>
              <c:showVal val="1"/>
              <c:showCatName val="0"/>
              <c:showSerName val="0"/>
              <c:showPercent val="0"/>
              <c:showBubbleSize val="0"/>
              <c:extLst>
                <c:ext xmlns:c15="http://schemas.microsoft.com/office/drawing/2012/chart" uri="{CE6537A1-D6FC-4f65-9D91-7224C49458BB}">
                  <c15:layout/>
                </c:ext>
              </c:extLst>
            </c:dLbl>
            <c:dLbl>
              <c:idx val="5"/>
              <c:delete val="1"/>
            </c:dLbl>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主动公开基本目录</c:v>
                </c:pt>
                <c:pt idx="1">
                  <c:v>回复政务热线</c:v>
                </c:pt>
                <c:pt idx="2">
                  <c:v>会议公开</c:v>
                </c:pt>
                <c:pt idx="3">
                  <c:v>年度重点工作落实公开</c:v>
                </c:pt>
                <c:pt idx="4">
                  <c:v>其他信息发布</c:v>
                </c:pt>
                <c:pt idx="5">
                  <c:v>信息公开年报</c:v>
                </c:pt>
              </c:strCache>
            </c:strRef>
          </c:cat>
          <c:val>
            <c:numRef>
              <c:f>Sheet1!$B$2:$B$7</c:f>
              <c:numCache>
                <c:formatCode>General</c:formatCode>
                <c:ptCount val="6"/>
                <c:pt idx="0">
                  <c:v>1</c:v>
                </c:pt>
                <c:pt idx="1">
                  <c:v>48</c:v>
                </c:pt>
                <c:pt idx="2">
                  <c:v>12</c:v>
                </c:pt>
                <c:pt idx="3">
                  <c:v>12</c:v>
                </c:pt>
                <c:pt idx="4">
                  <c:v>54</c:v>
                </c:pt>
                <c:pt idx="5">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817092-38a6-4d6a-9d1d-79a03253e0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2649</Words>
  <Characters>2739</Characters>
  <Lines>0</Lines>
  <Paragraphs>0</Paragraphs>
  <TotalTime>2</TotalTime>
  <ScaleCrop>false</ScaleCrop>
  <LinksUpToDate>false</LinksUpToDate>
  <CharactersWithSpaces>2885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2025-01-15T08:21:00Z</dcterms:created>
  <dc:creator>西鱼</dc:creator>
  <cp:lastModifiedBy>糖炒栗子 ້໌ᮨ</cp:lastModifiedBy>
  <dcterms:modified xsi:type="dcterms:W3CDTF">2025-01-23T07:18:07Z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27A4995AF194461A88B28B1FC46839F7_13</vt:lpwstr>
  </property>
  <property fmtid="{D5CDD505-2E9C-101B-9397-08002B2CF9AE}" pid="4" name="KSOTemplateDocerSaveRecord">
    <vt:lpwstr>eyJoZGlkIjoiZjYwNTBlYjNmNzUyNmFhNDZlNTJhOTFjOWM3OWY2ODYiLCJ1c2VySWQiOiIxMTQ4NjcwNDAzIn0=</vt:lpwstr>
  </property>
</Properties>
</file>