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85B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t>济宁高新区人力资源部2024年信息公开</w:t>
      </w:r>
    </w:p>
    <w:p w14:paraId="740070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kern w:val="2"/>
          <w:sz w:val="44"/>
          <w:szCs w:val="44"/>
          <w:lang w:val="en-US" w:eastAsia="zh-CN"/>
          <w14:textFill>
            <w14:solidFill>
              <w14:schemeClr w14:val="tx1"/>
            </w14:solidFill>
          </w14:textFill>
        </w:rPr>
        <w:t>工作年度报告</w:t>
      </w:r>
    </w:p>
    <w:p w14:paraId="7BF315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kern w:val="2"/>
          <w:sz w:val="44"/>
          <w:szCs w:val="44"/>
          <w14:textFill>
            <w14:solidFill>
              <w14:schemeClr w14:val="tx1"/>
            </w14:solidFill>
          </w14:textFill>
        </w:rPr>
      </w:pPr>
    </w:p>
    <w:p w14:paraId="6D6010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本报告由</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济宁高新区人力资源部</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按照《中华人民共和国政府信息公开条例》（以下简称《条例》）和《中华人民共和国政府信息公开工作年度报告格式》（国办公开办函〔202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1</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〕30号）要求编制。</w:t>
      </w:r>
    </w:p>
    <w:p w14:paraId="013BE4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除特别说明的外，</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年12月31日止。本报告电子版可在“济宁国家高新技术产业开发区”管委会门户网站（http://www.jnhn.gov.cn）查阅或下载。如对本报告有疑问，请与</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济宁高新区人力资源部</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联系</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地址：济宁高新区产学研基地T3栋11楼，联系电话：0537-7395499</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w:t>
      </w:r>
    </w:p>
    <w:p w14:paraId="1CF1A523">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eastAsia" w:ascii="黑体" w:hAnsi="黑体" w:eastAsia="黑体" w:cs="黑体"/>
          <w:i w:val="0"/>
          <w:iCs w:val="0"/>
          <w:caps w:val="0"/>
          <w:color w:val="333333"/>
          <w:spacing w:val="0"/>
          <w:kern w:val="0"/>
          <w:sz w:val="32"/>
          <w:szCs w:val="32"/>
          <w:lang w:val="en-US" w:eastAsia="zh-CN" w:bidi="ar"/>
        </w:rPr>
      </w:pPr>
      <w:r>
        <w:rPr>
          <w:rStyle w:val="5"/>
          <w:rFonts w:hint="eastAsia" w:ascii="黑体" w:hAnsi="黑体" w:eastAsia="黑体" w:cs="黑体"/>
          <w:i w:val="0"/>
          <w:iCs w:val="0"/>
          <w:caps w:val="0"/>
          <w:color w:val="333333"/>
          <w:spacing w:val="0"/>
          <w:kern w:val="0"/>
          <w:sz w:val="32"/>
          <w:szCs w:val="32"/>
          <w:lang w:val="en-US" w:eastAsia="zh-CN" w:bidi="ar"/>
        </w:rPr>
        <w:t>一、总体情况</w:t>
      </w:r>
    </w:p>
    <w:p w14:paraId="2DE724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eastAsia="zh-CN" w:bidi="ar-SA"/>
        </w:rPr>
        <w:t>年度高新区</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人力资源部</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认真贯彻落实《</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条例</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》和</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《中华人民共和国政府信息公开工作年度报告格式》（国办公开办函〔2021〕30号）</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等文件精神要求及相关决策部署，</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建立起高效的信息发布机制，准确、公开、透明发布</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中小微企业补贴、失业保险、社保缴纳等信息，及时回应关切、解疑释惑，持续提升群众获得感、幸福感、安全感，</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不断提升政策服务水平，充分发挥以公开促落实、优服务、强监督的作</w:t>
      </w:r>
    </w:p>
    <w:p w14:paraId="7F5962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用，全力推动人社事业高质量发展。</w:t>
      </w:r>
    </w:p>
    <w:p w14:paraId="2D65A7EB">
      <w:pPr>
        <w:numPr>
          <w:ilvl w:val="0"/>
          <w:numId w:val="0"/>
        </w:numPr>
        <w:ind w:firstLine="643" w:firstLineChars="200"/>
        <w:rPr>
          <w:rStyle w:val="5"/>
          <w:rFonts w:hint="default"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（一）主动公开情况</w:t>
      </w:r>
    </w:p>
    <w:p w14:paraId="0186FB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年通过网站主动公开政府信息2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02</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条，</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回复政务热线1331条。</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二是推动重点领域信息公开。主动发布稳岗就业、社会保险等重点领域政府信息，推动重点领域信息公开标准化、规范化；及时对外发布补贴公示、招考招聘、职称评审等人社业务动态，接受社会监督。</w:t>
      </w:r>
    </w:p>
    <w:p w14:paraId="309717B7">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26A9193">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（二）依申请公开情况</w:t>
      </w:r>
    </w:p>
    <w:p w14:paraId="129346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2024年人力资源部收到1件依申请信件，申请涉及内容为村民的入保方案，经调查，村民入保方案不属于政府信息，本机关已于20个工作日内作出答复，未收取费用。</w:t>
      </w:r>
    </w:p>
    <w:p w14:paraId="0C20AFF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290830</wp:posOffset>
            </wp:positionH>
            <wp:positionV relativeFrom="paragraph">
              <wp:posOffset>98425</wp:posOffset>
            </wp:positionV>
            <wp:extent cx="4294505" cy="2150110"/>
            <wp:effectExtent l="5080" t="4445" r="5715" b="1714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1E91564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p>
    <w:p w14:paraId="5FB59C0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p>
    <w:p w14:paraId="46CEAA6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p>
    <w:p w14:paraId="16EFA908">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（三）政府信息管理情况</w:t>
      </w:r>
    </w:p>
    <w:p w14:paraId="4C2E8D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一是主动公开标准目录。及时更新并动态调整主动公开基本目录，确保应公开尽公开。二是不断完善制度规范，认真落实政府信息公开审核和保密审查制度，把信息发布内容关，严格执行</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“分级审核、先审后发、授权发布”程序，未经审核的信息一律不得发布，确保发布的信息内容无涉及国家秘密和内部敏感事项。三是强化规范性文件管理。今年以来未制发或废止规范性文件。</w:t>
      </w:r>
    </w:p>
    <w:p w14:paraId="20E7A28A">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（四）政府信息公开平台建设情况</w:t>
      </w:r>
    </w:p>
    <w:p w14:paraId="6B7598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人力资源部高度重视政府信息公开平台建设，致力于让群众享受一个高效、透明、便捷的政务信息公开渠道。在管委会网站形成稳岗就业专栏，定期发布就业政策、经办流程，同时按月份发布招聘信息、补贴信息等内容，确保信息的时效性和准确性。</w:t>
      </w:r>
    </w:p>
    <w:p w14:paraId="6840CAA7">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w:t>
      </w:r>
      <w:r>
        <w:rPr>
          <w:rStyle w:val="5"/>
          <w:rFonts w:hint="eastAsia" w:ascii="方正楷体简体" w:hAnsi="方正楷体简体" w:eastAsia="方正楷体简体" w:cs="方正楷体简体"/>
          <w:b/>
          <w:bCs w:val="0"/>
          <w:i w:val="0"/>
          <w:iCs w:val="0"/>
          <w:caps w:val="0"/>
          <w:color w:val="auto"/>
          <w:spacing w:val="0"/>
          <w:kern w:val="2"/>
          <w:sz w:val="32"/>
          <w:szCs w:val="32"/>
          <w:lang w:eastAsia="zh-CN"/>
        </w:rPr>
        <w:t>五）监督保障情况</w:t>
      </w:r>
    </w:p>
    <w:p w14:paraId="704082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人</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力资源部将政务公开工作纳入年度考核内容范围，通过定期自查、互查等方式，对政务公开工作的落实情况进行监督检查。对于发现的问题和不足，及时采取措施进行整改和完善。</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同时，</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人力资源部加强与公众的互动交流，广泛接受社会各界监督</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通过设立投诉举报电话、电子邮箱等方式，方便群众对政务公开工作提出意见和建议。</w:t>
      </w:r>
    </w:p>
    <w:p w14:paraId="5745782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default" w:ascii="黑体" w:hAnsi="黑体" w:eastAsia="黑体" w:cs="黑体"/>
          <w:i w:val="0"/>
          <w:iCs w:val="0"/>
          <w:caps w:val="0"/>
          <w:color w:val="333333"/>
          <w:spacing w:val="0"/>
          <w:kern w:val="0"/>
          <w:sz w:val="32"/>
          <w:szCs w:val="32"/>
          <w:lang w:val="en-US" w:eastAsia="zh-CN" w:bidi="ar"/>
        </w:rPr>
      </w:pPr>
      <w:r>
        <w:rPr>
          <w:rStyle w:val="5"/>
          <w:rFonts w:hint="eastAsia" w:ascii="黑体" w:hAnsi="黑体" w:eastAsia="黑体" w:cs="黑体"/>
          <w:i w:val="0"/>
          <w:iCs w:val="0"/>
          <w:caps w:val="0"/>
          <w:color w:val="333333"/>
          <w:spacing w:val="0"/>
          <w:kern w:val="0"/>
          <w:sz w:val="32"/>
          <w:szCs w:val="32"/>
          <w:lang w:val="en-US" w:eastAsia="zh-CN" w:bidi="ar"/>
        </w:rPr>
        <w:t>二、主动公开政府信息情况</w:t>
      </w:r>
    </w:p>
    <w:tbl>
      <w:tblPr>
        <w:tblStyle w:val="3"/>
        <w:tblpPr w:leftFromText="180" w:rightFromText="180" w:vertAnchor="text" w:horzAnchor="page" w:tblpX="1610" w:tblpY="542"/>
        <w:tblOverlap w:val="never"/>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14:paraId="2B58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40" w:hRule="atLeast"/>
        </w:trPr>
        <w:tc>
          <w:tcPr>
            <w:tcW w:w="8773" w:type="dxa"/>
            <w:gridSpan w:val="4"/>
            <w:shd w:val="clear" w:color="auto" w:fill="FFFFFF" w:themeFill="background1"/>
            <w:tcMar>
              <w:left w:w="57" w:type="dxa"/>
              <w:right w:w="57" w:type="dxa"/>
            </w:tcMar>
            <w:vAlign w:val="center"/>
          </w:tcPr>
          <w:p w14:paraId="50C67C70">
            <w:pPr>
              <w:widowControl/>
              <w:spacing w:line="340" w:lineRule="exact"/>
              <w:jc w:val="center"/>
              <w:rPr>
                <w:rFonts w:ascii="方正黑体简体" w:eastAsia="方正黑体简体"/>
                <w:b/>
                <w:bCs/>
                <w:sz w:val="24"/>
                <w:szCs w:val="24"/>
              </w:rPr>
            </w:pPr>
            <w:r>
              <w:rPr>
                <w:rFonts w:hint="eastAsia" w:ascii="方正黑体简体" w:hAnsi="宋体" w:eastAsia="方正黑体简体" w:cs="宋体"/>
                <w:b/>
                <w:bCs/>
                <w:sz w:val="24"/>
                <w:szCs w:val="24"/>
              </w:rPr>
              <w:t>第二十条第（一）项</w:t>
            </w:r>
          </w:p>
        </w:tc>
      </w:tr>
      <w:tr w14:paraId="6E4B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508D74F4">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2133" w:type="dxa"/>
            <w:shd w:val="clear" w:color="auto" w:fill="FFFFFF" w:themeFill="background1"/>
            <w:tcMar>
              <w:left w:w="57" w:type="dxa"/>
              <w:right w:w="57" w:type="dxa"/>
            </w:tcMar>
            <w:vAlign w:val="center"/>
          </w:tcPr>
          <w:p w14:paraId="4CDB2C69">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本年制发件数</w:t>
            </w:r>
          </w:p>
        </w:tc>
        <w:tc>
          <w:tcPr>
            <w:tcW w:w="2216" w:type="dxa"/>
            <w:shd w:val="clear" w:color="auto" w:fill="FFFFFF" w:themeFill="background1"/>
            <w:tcMar>
              <w:left w:w="57" w:type="dxa"/>
              <w:right w:w="57" w:type="dxa"/>
            </w:tcMar>
            <w:vAlign w:val="center"/>
          </w:tcPr>
          <w:p w14:paraId="6A0188A8">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本年废止件数</w:t>
            </w:r>
          </w:p>
        </w:tc>
        <w:tc>
          <w:tcPr>
            <w:tcW w:w="1989" w:type="dxa"/>
            <w:shd w:val="clear" w:color="auto" w:fill="FFFFFF" w:themeFill="background1"/>
            <w:tcMar>
              <w:left w:w="57" w:type="dxa"/>
              <w:right w:w="57" w:type="dxa"/>
            </w:tcMar>
            <w:vAlign w:val="center"/>
          </w:tcPr>
          <w:p w14:paraId="51579AD1">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现行有效件数</w:t>
            </w:r>
          </w:p>
        </w:tc>
      </w:tr>
      <w:tr w14:paraId="73A8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6B43F918">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规章</w:t>
            </w:r>
          </w:p>
        </w:tc>
        <w:tc>
          <w:tcPr>
            <w:tcW w:w="2133" w:type="dxa"/>
            <w:shd w:val="clear" w:color="auto" w:fill="FFFFFF" w:themeFill="background1"/>
            <w:tcMar>
              <w:left w:w="57" w:type="dxa"/>
              <w:right w:w="57" w:type="dxa"/>
            </w:tcMar>
            <w:vAlign w:val="center"/>
          </w:tcPr>
          <w:p w14:paraId="1CBFD3C4">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14:paraId="2DB0CD49">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14:paraId="2F599011">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14:paraId="43D6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38250AD7">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行政规范性文件</w:t>
            </w:r>
          </w:p>
        </w:tc>
        <w:tc>
          <w:tcPr>
            <w:tcW w:w="2133" w:type="dxa"/>
            <w:shd w:val="clear" w:color="auto" w:fill="FFFFFF" w:themeFill="background1"/>
            <w:tcMar>
              <w:left w:w="57" w:type="dxa"/>
              <w:right w:w="57" w:type="dxa"/>
            </w:tcMar>
            <w:vAlign w:val="center"/>
          </w:tcPr>
          <w:p w14:paraId="6336DCB3">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14:paraId="3F8B463D">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14:paraId="0D8358EE">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14:paraId="6F2B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14:paraId="24E417CB">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第二十条第（五）项</w:t>
            </w:r>
          </w:p>
        </w:tc>
      </w:tr>
      <w:tr w14:paraId="7BCA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2377327A">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14:paraId="2D6D5124">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14:paraId="668C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315BA164">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行政许可</w:t>
            </w:r>
          </w:p>
        </w:tc>
        <w:tc>
          <w:tcPr>
            <w:tcW w:w="6338" w:type="dxa"/>
            <w:gridSpan w:val="3"/>
            <w:shd w:val="clear" w:color="auto" w:fill="FFFFFF" w:themeFill="background1"/>
            <w:tcMar>
              <w:left w:w="57" w:type="dxa"/>
              <w:right w:w="57" w:type="dxa"/>
            </w:tcMar>
            <w:vAlign w:val="center"/>
          </w:tcPr>
          <w:p w14:paraId="5AF1F204">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Calibri" w:eastAsia="方正仿宋简体" w:cs="Calibri"/>
                <w:b/>
                <w:bCs/>
                <w:sz w:val="24"/>
                <w:szCs w:val="24"/>
                <w:lang w:val="en-US" w:eastAsia="zh-CN"/>
              </w:rPr>
              <w:t>0</w:t>
            </w:r>
          </w:p>
        </w:tc>
      </w:tr>
      <w:tr w14:paraId="541D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14:paraId="6113C3FB">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第二十条第（六）项</w:t>
            </w:r>
          </w:p>
        </w:tc>
      </w:tr>
      <w:tr w14:paraId="014A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28D95FCB">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14:paraId="0BF818B9">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14:paraId="39D6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1A82A5F6">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行政处罚</w:t>
            </w:r>
          </w:p>
        </w:tc>
        <w:tc>
          <w:tcPr>
            <w:tcW w:w="6338" w:type="dxa"/>
            <w:gridSpan w:val="3"/>
            <w:shd w:val="clear" w:color="auto" w:fill="FFFFFF" w:themeFill="background1"/>
            <w:tcMar>
              <w:left w:w="57" w:type="dxa"/>
              <w:right w:w="57" w:type="dxa"/>
            </w:tcMar>
            <w:vAlign w:val="center"/>
          </w:tcPr>
          <w:p w14:paraId="08C97E30">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14:paraId="40DC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4FED02C9">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行政强制</w:t>
            </w:r>
          </w:p>
        </w:tc>
        <w:tc>
          <w:tcPr>
            <w:tcW w:w="6338" w:type="dxa"/>
            <w:gridSpan w:val="3"/>
            <w:shd w:val="clear" w:color="auto" w:fill="FFFFFF" w:themeFill="background1"/>
            <w:tcMar>
              <w:left w:w="57" w:type="dxa"/>
              <w:right w:w="57" w:type="dxa"/>
            </w:tcMar>
            <w:vAlign w:val="center"/>
          </w:tcPr>
          <w:p w14:paraId="67952628">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14:paraId="4384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14:paraId="1F694826">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第二十条第（八）项</w:t>
            </w:r>
          </w:p>
        </w:tc>
      </w:tr>
      <w:tr w14:paraId="589E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5C321F92">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14:paraId="18A9FB4C">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本年收费金额（单位：万元）</w:t>
            </w:r>
          </w:p>
        </w:tc>
      </w:tr>
      <w:tr w14:paraId="1670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14:paraId="4AFD6932">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行政事业性收费</w:t>
            </w:r>
          </w:p>
        </w:tc>
        <w:tc>
          <w:tcPr>
            <w:tcW w:w="6338" w:type="dxa"/>
            <w:gridSpan w:val="3"/>
            <w:shd w:val="clear" w:color="auto" w:fill="FFFFFF" w:themeFill="background1"/>
            <w:tcMar>
              <w:left w:w="57" w:type="dxa"/>
              <w:right w:w="57" w:type="dxa"/>
            </w:tcMar>
            <w:vAlign w:val="center"/>
          </w:tcPr>
          <w:p w14:paraId="40D5B9E7">
            <w:pPr>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bl>
    <w:p w14:paraId="593316BB">
      <w:pPr>
        <w:spacing w:beforeLines="10" w:afterLines="10" w:line="600" w:lineRule="exact"/>
        <w:ind w:firstLine="643" w:firstLineChars="200"/>
        <w:rPr>
          <w:rStyle w:val="5"/>
          <w:rFonts w:hint="eastAsia" w:ascii="黑体" w:hAnsi="黑体" w:eastAsia="黑体" w:cs="黑体"/>
          <w:i w:val="0"/>
          <w:iCs w:val="0"/>
          <w:caps w:val="0"/>
          <w:color w:val="333333"/>
          <w:spacing w:val="0"/>
          <w:kern w:val="0"/>
          <w:sz w:val="32"/>
          <w:szCs w:val="32"/>
          <w:lang w:val="en-US" w:eastAsia="zh-CN" w:bidi="ar"/>
        </w:rPr>
      </w:pPr>
      <w:r>
        <w:rPr>
          <w:rStyle w:val="5"/>
          <w:rFonts w:hint="eastAsia" w:ascii="黑体" w:hAnsi="黑体" w:eastAsia="黑体" w:cs="黑体"/>
          <w:i w:val="0"/>
          <w:iCs w:val="0"/>
          <w:caps w:val="0"/>
          <w:color w:val="333333"/>
          <w:spacing w:val="0"/>
          <w:kern w:val="0"/>
          <w:sz w:val="32"/>
          <w:szCs w:val="32"/>
          <w:lang w:val="en-US" w:eastAsia="zh-CN" w:bidi="ar"/>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E08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787C0A0D">
            <w:pPr>
              <w:widowControl/>
              <w:spacing w:line="300" w:lineRule="exact"/>
              <w:jc w:val="center"/>
              <w:rPr>
                <w:rFonts w:ascii="方正黑体简体" w:eastAsia="方正黑体简体"/>
                <w:b/>
                <w:bCs/>
                <w:sz w:val="21"/>
                <w:szCs w:val="21"/>
              </w:rPr>
            </w:pPr>
            <w:r>
              <w:rPr>
                <w:rFonts w:hint="eastAsia" w:ascii="方正黑体简体" w:hAnsi="楷体" w:eastAsia="方正黑体简体" w:cs="楷体"/>
                <w:b/>
                <w:bCs/>
                <w:sz w:val="21"/>
                <w:szCs w:val="21"/>
              </w:rPr>
              <w:t>（本列数据的勾稽关系为：第一项加第二项之和，等于第三项加第四项之和）</w:t>
            </w:r>
          </w:p>
        </w:tc>
        <w:tc>
          <w:tcPr>
            <w:tcW w:w="4229" w:type="dxa"/>
            <w:gridSpan w:val="7"/>
            <w:tcMar>
              <w:left w:w="57" w:type="dxa"/>
              <w:right w:w="57" w:type="dxa"/>
            </w:tcMar>
            <w:vAlign w:val="center"/>
          </w:tcPr>
          <w:p w14:paraId="18853232">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申请人情况</w:t>
            </w:r>
          </w:p>
        </w:tc>
      </w:tr>
      <w:tr w14:paraId="0A3C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12E98D51">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14:paraId="77841B43">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自然人</w:t>
            </w:r>
          </w:p>
        </w:tc>
        <w:tc>
          <w:tcPr>
            <w:tcW w:w="2917" w:type="dxa"/>
            <w:gridSpan w:val="5"/>
            <w:tcMar>
              <w:left w:w="108" w:type="dxa"/>
              <w:right w:w="108" w:type="dxa"/>
            </w:tcMar>
            <w:vAlign w:val="center"/>
          </w:tcPr>
          <w:p w14:paraId="3FB90694">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法人或其他组织</w:t>
            </w:r>
          </w:p>
        </w:tc>
        <w:tc>
          <w:tcPr>
            <w:tcW w:w="521" w:type="dxa"/>
            <w:vMerge w:val="restart"/>
            <w:tcMar>
              <w:left w:w="108" w:type="dxa"/>
              <w:right w:w="108" w:type="dxa"/>
            </w:tcMar>
            <w:vAlign w:val="center"/>
          </w:tcPr>
          <w:p w14:paraId="1EF189D0">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14:paraId="4F5D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66576C42">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14:paraId="0BECE686">
            <w:pPr>
              <w:spacing w:line="300" w:lineRule="exact"/>
              <w:rPr>
                <w:rFonts w:ascii="方正仿宋简体" w:eastAsia="方正仿宋简体"/>
                <w:b/>
                <w:bCs/>
                <w:sz w:val="21"/>
                <w:szCs w:val="21"/>
              </w:rPr>
            </w:pPr>
          </w:p>
        </w:tc>
        <w:tc>
          <w:tcPr>
            <w:tcW w:w="599" w:type="dxa"/>
            <w:tcMar>
              <w:left w:w="108" w:type="dxa"/>
              <w:right w:w="108" w:type="dxa"/>
            </w:tcMar>
            <w:vAlign w:val="center"/>
          </w:tcPr>
          <w:p w14:paraId="2453E3CF">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商业</w:t>
            </w:r>
          </w:p>
          <w:p w14:paraId="0D0FF81A">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企业</w:t>
            </w:r>
          </w:p>
        </w:tc>
        <w:tc>
          <w:tcPr>
            <w:tcW w:w="590" w:type="dxa"/>
            <w:tcMar>
              <w:left w:w="108" w:type="dxa"/>
              <w:right w:w="108" w:type="dxa"/>
            </w:tcMar>
            <w:vAlign w:val="center"/>
          </w:tcPr>
          <w:p w14:paraId="1131E3F8">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科研</w:t>
            </w:r>
          </w:p>
          <w:p w14:paraId="6CD28E8D">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机构</w:t>
            </w:r>
          </w:p>
        </w:tc>
        <w:tc>
          <w:tcPr>
            <w:tcW w:w="598" w:type="dxa"/>
            <w:tcMar>
              <w:left w:w="108" w:type="dxa"/>
              <w:right w:w="108" w:type="dxa"/>
            </w:tcMar>
            <w:vAlign w:val="center"/>
          </w:tcPr>
          <w:p w14:paraId="4F95A44B">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社会公益组织</w:t>
            </w:r>
          </w:p>
        </w:tc>
        <w:tc>
          <w:tcPr>
            <w:tcW w:w="571" w:type="dxa"/>
            <w:tcMar>
              <w:left w:w="108" w:type="dxa"/>
              <w:right w:w="108" w:type="dxa"/>
            </w:tcMar>
            <w:vAlign w:val="center"/>
          </w:tcPr>
          <w:p w14:paraId="4E13CC94">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法律服务机构</w:t>
            </w:r>
          </w:p>
        </w:tc>
        <w:tc>
          <w:tcPr>
            <w:tcW w:w="559" w:type="dxa"/>
            <w:tcMar>
              <w:left w:w="108" w:type="dxa"/>
              <w:right w:w="108" w:type="dxa"/>
            </w:tcMar>
            <w:vAlign w:val="center"/>
          </w:tcPr>
          <w:p w14:paraId="18D748B7">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其他</w:t>
            </w:r>
          </w:p>
        </w:tc>
        <w:tc>
          <w:tcPr>
            <w:tcW w:w="521" w:type="dxa"/>
            <w:vMerge w:val="continue"/>
            <w:tcMar>
              <w:left w:w="108" w:type="dxa"/>
              <w:right w:w="108" w:type="dxa"/>
            </w:tcMar>
            <w:vAlign w:val="center"/>
          </w:tcPr>
          <w:p w14:paraId="691E0DBE">
            <w:pPr>
              <w:spacing w:line="300" w:lineRule="exact"/>
              <w:rPr>
                <w:rFonts w:ascii="方正仿宋简体" w:eastAsia="方正仿宋简体"/>
                <w:b/>
                <w:bCs/>
                <w:sz w:val="21"/>
                <w:szCs w:val="21"/>
              </w:rPr>
            </w:pPr>
          </w:p>
        </w:tc>
      </w:tr>
      <w:tr w14:paraId="481E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6C809CA5">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一、本年新收政府信息公开申请数量</w:t>
            </w:r>
          </w:p>
        </w:tc>
        <w:tc>
          <w:tcPr>
            <w:tcW w:w="791" w:type="dxa"/>
            <w:tcMar>
              <w:left w:w="57" w:type="dxa"/>
              <w:right w:w="57" w:type="dxa"/>
            </w:tcMar>
            <w:vAlign w:val="center"/>
          </w:tcPr>
          <w:p w14:paraId="1BAA8FE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14:paraId="75DC852E">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6014F8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1ADF3FD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2B73A22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3ED693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B71A72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14:paraId="7A68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00BA0302">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二、上年结转政府信息公开申请数量</w:t>
            </w:r>
          </w:p>
        </w:tc>
        <w:tc>
          <w:tcPr>
            <w:tcW w:w="791" w:type="dxa"/>
            <w:tcMar>
              <w:left w:w="57" w:type="dxa"/>
              <w:right w:w="57" w:type="dxa"/>
            </w:tcMar>
            <w:vAlign w:val="center"/>
          </w:tcPr>
          <w:p w14:paraId="4984D1F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F16411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79DAC59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345DF1E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088186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1356ED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37AACB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F98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69F6906D">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三、本年度办理结果</w:t>
            </w:r>
          </w:p>
        </w:tc>
        <w:tc>
          <w:tcPr>
            <w:tcW w:w="3820" w:type="dxa"/>
            <w:gridSpan w:val="2"/>
            <w:tcMar>
              <w:left w:w="57" w:type="dxa"/>
              <w:right w:w="57" w:type="dxa"/>
            </w:tcMar>
            <w:vAlign w:val="center"/>
          </w:tcPr>
          <w:p w14:paraId="1626E22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（一）予以公开</w:t>
            </w:r>
          </w:p>
        </w:tc>
        <w:tc>
          <w:tcPr>
            <w:tcW w:w="791" w:type="dxa"/>
            <w:tcMar>
              <w:left w:w="57" w:type="dxa"/>
              <w:right w:w="57" w:type="dxa"/>
            </w:tcMar>
            <w:vAlign w:val="center"/>
          </w:tcPr>
          <w:p w14:paraId="3DA1030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31354DB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04DE84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783500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6B5177D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D5EFCF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2B8236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2FA6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6C805F11">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14:paraId="25544DA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（二）部分公开</w:t>
            </w:r>
            <w:r>
              <w:rPr>
                <w:rFonts w:hint="eastAsia" w:ascii="方正仿宋简体" w:hAnsi="楷体" w:eastAsia="方正仿宋简体" w:cs="楷体"/>
                <w:b/>
                <w:bCs/>
                <w:sz w:val="21"/>
                <w:szCs w:val="21"/>
              </w:rPr>
              <w:t>（区分处理的，只计这一情形，不计其他情形）</w:t>
            </w:r>
          </w:p>
        </w:tc>
        <w:tc>
          <w:tcPr>
            <w:tcW w:w="791" w:type="dxa"/>
            <w:tcMar>
              <w:left w:w="57" w:type="dxa"/>
              <w:right w:w="57" w:type="dxa"/>
            </w:tcMar>
            <w:vAlign w:val="center"/>
          </w:tcPr>
          <w:p w14:paraId="20F77BC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5F320FC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1EE625B">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0BDD931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DACD8B7">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C525B7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0DFB746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D10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82B500E">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1EB31AD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（三）不予公开</w:t>
            </w:r>
          </w:p>
        </w:tc>
        <w:tc>
          <w:tcPr>
            <w:tcW w:w="2878" w:type="dxa"/>
            <w:tcMar>
              <w:left w:w="57" w:type="dxa"/>
              <w:right w:w="57" w:type="dxa"/>
            </w:tcMar>
          </w:tcPr>
          <w:p w14:paraId="16EE840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1.属于国家秘密</w:t>
            </w:r>
          </w:p>
        </w:tc>
        <w:tc>
          <w:tcPr>
            <w:tcW w:w="791" w:type="dxa"/>
            <w:tcMar>
              <w:left w:w="57" w:type="dxa"/>
              <w:right w:w="57" w:type="dxa"/>
            </w:tcMar>
            <w:vAlign w:val="center"/>
          </w:tcPr>
          <w:p w14:paraId="2EE76FE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1C37C43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77051F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119F5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97047C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7E457D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B50224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74DC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854E010">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7090E623">
            <w:pPr>
              <w:spacing w:line="300" w:lineRule="exact"/>
              <w:rPr>
                <w:rFonts w:ascii="方正仿宋简体" w:eastAsia="方正仿宋简体"/>
                <w:b/>
                <w:bCs/>
                <w:sz w:val="21"/>
                <w:szCs w:val="21"/>
              </w:rPr>
            </w:pPr>
          </w:p>
        </w:tc>
        <w:tc>
          <w:tcPr>
            <w:tcW w:w="2878" w:type="dxa"/>
            <w:tcMar>
              <w:left w:w="57" w:type="dxa"/>
              <w:right w:w="57" w:type="dxa"/>
            </w:tcMar>
          </w:tcPr>
          <w:p w14:paraId="3B242935">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2.其他法律行政法规禁止公开</w:t>
            </w:r>
          </w:p>
        </w:tc>
        <w:tc>
          <w:tcPr>
            <w:tcW w:w="791" w:type="dxa"/>
            <w:tcMar>
              <w:left w:w="57" w:type="dxa"/>
              <w:right w:w="57" w:type="dxa"/>
            </w:tcMar>
            <w:vAlign w:val="center"/>
          </w:tcPr>
          <w:p w14:paraId="32A2ECA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46D120B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5BFF08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1D86F2B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39A5F80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6538EBE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7BCEE9C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780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217956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33AA412">
            <w:pPr>
              <w:spacing w:line="300" w:lineRule="exact"/>
              <w:rPr>
                <w:rFonts w:ascii="方正仿宋简体" w:eastAsia="方正仿宋简体"/>
                <w:b/>
                <w:bCs/>
                <w:sz w:val="21"/>
                <w:szCs w:val="21"/>
              </w:rPr>
            </w:pPr>
          </w:p>
        </w:tc>
        <w:tc>
          <w:tcPr>
            <w:tcW w:w="2878" w:type="dxa"/>
            <w:tcMar>
              <w:left w:w="57" w:type="dxa"/>
              <w:right w:w="57" w:type="dxa"/>
            </w:tcMar>
          </w:tcPr>
          <w:p w14:paraId="61737716">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3.危及“三安全一稳定”</w:t>
            </w:r>
          </w:p>
        </w:tc>
        <w:tc>
          <w:tcPr>
            <w:tcW w:w="791" w:type="dxa"/>
            <w:tcMar>
              <w:left w:w="57" w:type="dxa"/>
              <w:right w:w="57" w:type="dxa"/>
            </w:tcMar>
            <w:vAlign w:val="center"/>
          </w:tcPr>
          <w:p w14:paraId="3D0344D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6247F59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7B90B6D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2A8B028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7A7449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B60E857">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37B2E76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04F8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0182F8D">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CB7CEE3">
            <w:pPr>
              <w:spacing w:line="300" w:lineRule="exact"/>
              <w:rPr>
                <w:rFonts w:ascii="方正仿宋简体" w:eastAsia="方正仿宋简体"/>
                <w:b/>
                <w:bCs/>
                <w:sz w:val="21"/>
                <w:szCs w:val="21"/>
              </w:rPr>
            </w:pPr>
          </w:p>
        </w:tc>
        <w:tc>
          <w:tcPr>
            <w:tcW w:w="2878" w:type="dxa"/>
            <w:tcMar>
              <w:left w:w="57" w:type="dxa"/>
              <w:right w:w="57" w:type="dxa"/>
            </w:tcMar>
          </w:tcPr>
          <w:p w14:paraId="7BEE2D23">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4.保护第三方合法权益</w:t>
            </w:r>
          </w:p>
        </w:tc>
        <w:tc>
          <w:tcPr>
            <w:tcW w:w="791" w:type="dxa"/>
            <w:tcMar>
              <w:left w:w="57" w:type="dxa"/>
              <w:right w:w="57" w:type="dxa"/>
            </w:tcMar>
            <w:vAlign w:val="center"/>
          </w:tcPr>
          <w:p w14:paraId="1243F1F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9A38E5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204AA8C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F20E3D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A53110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3F07336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2D03E5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5BD9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1A44FB9">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28F150DD">
            <w:pPr>
              <w:spacing w:line="300" w:lineRule="exact"/>
              <w:rPr>
                <w:rFonts w:ascii="方正仿宋简体" w:eastAsia="方正仿宋简体"/>
                <w:b/>
                <w:bCs/>
                <w:sz w:val="21"/>
                <w:szCs w:val="21"/>
              </w:rPr>
            </w:pPr>
          </w:p>
        </w:tc>
        <w:tc>
          <w:tcPr>
            <w:tcW w:w="2878" w:type="dxa"/>
            <w:tcMar>
              <w:left w:w="57" w:type="dxa"/>
              <w:right w:w="57" w:type="dxa"/>
            </w:tcMar>
          </w:tcPr>
          <w:p w14:paraId="3403DE03">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5.属于三类内部事务信息</w:t>
            </w:r>
          </w:p>
        </w:tc>
        <w:tc>
          <w:tcPr>
            <w:tcW w:w="791" w:type="dxa"/>
            <w:tcMar>
              <w:left w:w="57" w:type="dxa"/>
              <w:right w:w="57" w:type="dxa"/>
            </w:tcMar>
            <w:vAlign w:val="center"/>
          </w:tcPr>
          <w:p w14:paraId="14EB300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1E7865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0B7CF33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CB7D92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1DEFFD7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598370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BF9FA7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4806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92DCC8C">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692481D">
            <w:pPr>
              <w:spacing w:line="300" w:lineRule="exact"/>
              <w:rPr>
                <w:rFonts w:ascii="方正仿宋简体" w:eastAsia="方正仿宋简体"/>
                <w:b/>
                <w:bCs/>
                <w:sz w:val="21"/>
                <w:szCs w:val="21"/>
              </w:rPr>
            </w:pPr>
          </w:p>
        </w:tc>
        <w:tc>
          <w:tcPr>
            <w:tcW w:w="2878" w:type="dxa"/>
            <w:tcMar>
              <w:left w:w="57" w:type="dxa"/>
              <w:right w:w="57" w:type="dxa"/>
            </w:tcMar>
          </w:tcPr>
          <w:p w14:paraId="392F9485">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6.属于四类过程性信息</w:t>
            </w:r>
          </w:p>
        </w:tc>
        <w:tc>
          <w:tcPr>
            <w:tcW w:w="791" w:type="dxa"/>
            <w:tcMar>
              <w:left w:w="57" w:type="dxa"/>
              <w:right w:w="57" w:type="dxa"/>
            </w:tcMar>
            <w:vAlign w:val="center"/>
          </w:tcPr>
          <w:p w14:paraId="6BCD0ED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436DCD54">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2C1E91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C5586A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716B3A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63E338A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8AF175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12EB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2A6ACD8">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21366A13">
            <w:pPr>
              <w:spacing w:line="300" w:lineRule="exact"/>
              <w:rPr>
                <w:rFonts w:ascii="方正仿宋简体" w:eastAsia="方正仿宋简体"/>
                <w:b/>
                <w:bCs/>
                <w:sz w:val="21"/>
                <w:szCs w:val="21"/>
              </w:rPr>
            </w:pPr>
          </w:p>
        </w:tc>
        <w:tc>
          <w:tcPr>
            <w:tcW w:w="2878" w:type="dxa"/>
            <w:tcMar>
              <w:left w:w="57" w:type="dxa"/>
              <w:right w:w="57" w:type="dxa"/>
            </w:tcMar>
          </w:tcPr>
          <w:p w14:paraId="1F2139C3">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7.属于行政执法案卷</w:t>
            </w:r>
          </w:p>
        </w:tc>
        <w:tc>
          <w:tcPr>
            <w:tcW w:w="791" w:type="dxa"/>
            <w:tcMar>
              <w:left w:w="57" w:type="dxa"/>
              <w:right w:w="57" w:type="dxa"/>
            </w:tcMar>
            <w:vAlign w:val="center"/>
          </w:tcPr>
          <w:p w14:paraId="144500B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8E5DA8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642F800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7BE285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3978071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59C6BD5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0B8D17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2661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D42D738">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6843C363">
            <w:pPr>
              <w:spacing w:line="300" w:lineRule="exact"/>
              <w:rPr>
                <w:rFonts w:ascii="方正仿宋简体" w:eastAsia="方正仿宋简体"/>
                <w:b/>
                <w:bCs/>
                <w:sz w:val="21"/>
                <w:szCs w:val="21"/>
              </w:rPr>
            </w:pPr>
          </w:p>
        </w:tc>
        <w:tc>
          <w:tcPr>
            <w:tcW w:w="2878" w:type="dxa"/>
            <w:tcMar>
              <w:left w:w="57" w:type="dxa"/>
              <w:right w:w="57" w:type="dxa"/>
            </w:tcMar>
          </w:tcPr>
          <w:p w14:paraId="2BCF39EC">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8.属于行政查询事项</w:t>
            </w:r>
          </w:p>
        </w:tc>
        <w:tc>
          <w:tcPr>
            <w:tcW w:w="791" w:type="dxa"/>
            <w:tcMar>
              <w:left w:w="57" w:type="dxa"/>
              <w:right w:w="57" w:type="dxa"/>
            </w:tcMar>
            <w:vAlign w:val="center"/>
          </w:tcPr>
          <w:p w14:paraId="71E38C1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A92D14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F16FE7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6ECB6A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3CF4AD2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543D1A2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74BD935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3C3D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8F86DC3">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3F7FA094">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（四）无法提供</w:t>
            </w:r>
          </w:p>
        </w:tc>
        <w:tc>
          <w:tcPr>
            <w:tcW w:w="2878" w:type="dxa"/>
            <w:tcMar>
              <w:left w:w="57" w:type="dxa"/>
              <w:right w:w="57" w:type="dxa"/>
            </w:tcMar>
          </w:tcPr>
          <w:p w14:paraId="3391835C">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1.本机关不掌握相关政府信息</w:t>
            </w:r>
          </w:p>
        </w:tc>
        <w:tc>
          <w:tcPr>
            <w:tcW w:w="791" w:type="dxa"/>
            <w:tcMar>
              <w:left w:w="57" w:type="dxa"/>
              <w:right w:w="57" w:type="dxa"/>
            </w:tcMar>
            <w:vAlign w:val="center"/>
          </w:tcPr>
          <w:p w14:paraId="0EDF3B1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B1BDFE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99366F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430EF8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EA09D8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7D405A7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B1243D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245D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478D383">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D08EEF0">
            <w:pPr>
              <w:spacing w:line="300" w:lineRule="exact"/>
              <w:rPr>
                <w:rFonts w:ascii="方正仿宋简体" w:eastAsia="方正仿宋简体"/>
                <w:b/>
                <w:bCs/>
                <w:sz w:val="21"/>
                <w:szCs w:val="21"/>
              </w:rPr>
            </w:pPr>
          </w:p>
        </w:tc>
        <w:tc>
          <w:tcPr>
            <w:tcW w:w="2878" w:type="dxa"/>
            <w:tcMar>
              <w:left w:w="57" w:type="dxa"/>
              <w:right w:w="57" w:type="dxa"/>
            </w:tcMar>
          </w:tcPr>
          <w:p w14:paraId="731CD519">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2.没有现成信息需要另行制作</w:t>
            </w:r>
          </w:p>
        </w:tc>
        <w:tc>
          <w:tcPr>
            <w:tcW w:w="791" w:type="dxa"/>
            <w:tcMar>
              <w:left w:w="57" w:type="dxa"/>
              <w:right w:w="57" w:type="dxa"/>
            </w:tcMar>
            <w:vAlign w:val="center"/>
          </w:tcPr>
          <w:p w14:paraId="353A0A7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5CC3A3F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2857501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7B09A41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76E579E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80F45D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3DB1A5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599F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77FCC69">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49C5246A">
            <w:pPr>
              <w:spacing w:line="300" w:lineRule="exact"/>
              <w:rPr>
                <w:rFonts w:ascii="方正仿宋简体" w:eastAsia="方正仿宋简体"/>
                <w:b/>
                <w:bCs/>
                <w:sz w:val="21"/>
                <w:szCs w:val="21"/>
              </w:rPr>
            </w:pPr>
          </w:p>
        </w:tc>
        <w:tc>
          <w:tcPr>
            <w:tcW w:w="2878" w:type="dxa"/>
            <w:tcMar>
              <w:left w:w="57" w:type="dxa"/>
              <w:right w:w="57" w:type="dxa"/>
            </w:tcMar>
          </w:tcPr>
          <w:p w14:paraId="0468924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3.补正后申请内容仍不明确</w:t>
            </w:r>
          </w:p>
        </w:tc>
        <w:tc>
          <w:tcPr>
            <w:tcW w:w="791" w:type="dxa"/>
            <w:tcMar>
              <w:left w:w="57" w:type="dxa"/>
              <w:right w:w="57" w:type="dxa"/>
            </w:tcMar>
            <w:vAlign w:val="center"/>
          </w:tcPr>
          <w:p w14:paraId="1208B06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CEFC5E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7B853C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923A6A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201FD09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4BD582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FF0987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7BAD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768" w:type="dxa"/>
            <w:vMerge w:val="restart"/>
            <w:tcMar>
              <w:left w:w="57" w:type="dxa"/>
              <w:right w:w="57" w:type="dxa"/>
            </w:tcMar>
            <w:vAlign w:val="center"/>
          </w:tcPr>
          <w:p w14:paraId="27FB03A3">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6D9CAF8B">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（五）不予处理</w:t>
            </w:r>
          </w:p>
        </w:tc>
        <w:tc>
          <w:tcPr>
            <w:tcW w:w="2878" w:type="dxa"/>
            <w:tcMar>
              <w:left w:w="57" w:type="dxa"/>
              <w:right w:w="57" w:type="dxa"/>
            </w:tcMar>
          </w:tcPr>
          <w:p w14:paraId="5CF7BDA7">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1.信访举报投诉类申请</w:t>
            </w:r>
          </w:p>
        </w:tc>
        <w:tc>
          <w:tcPr>
            <w:tcW w:w="791" w:type="dxa"/>
            <w:tcMar>
              <w:left w:w="57" w:type="dxa"/>
              <w:right w:w="57" w:type="dxa"/>
            </w:tcMar>
            <w:vAlign w:val="center"/>
          </w:tcPr>
          <w:p w14:paraId="74AD66D5">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147C38F9">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53D996A1">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25FE863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040B108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2BF82F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1D8715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1523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2566B7C">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40D70694">
            <w:pPr>
              <w:spacing w:line="300" w:lineRule="exact"/>
              <w:rPr>
                <w:rFonts w:ascii="方正仿宋简体" w:eastAsia="方正仿宋简体"/>
                <w:b/>
                <w:bCs/>
                <w:sz w:val="21"/>
                <w:szCs w:val="21"/>
              </w:rPr>
            </w:pPr>
          </w:p>
        </w:tc>
        <w:tc>
          <w:tcPr>
            <w:tcW w:w="2878" w:type="dxa"/>
            <w:tcMar>
              <w:left w:w="57" w:type="dxa"/>
              <w:right w:w="57" w:type="dxa"/>
            </w:tcMar>
          </w:tcPr>
          <w:p w14:paraId="5687587C">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2.重复申请</w:t>
            </w:r>
          </w:p>
        </w:tc>
        <w:tc>
          <w:tcPr>
            <w:tcW w:w="791" w:type="dxa"/>
            <w:tcMar>
              <w:left w:w="57" w:type="dxa"/>
              <w:right w:w="57" w:type="dxa"/>
            </w:tcMar>
            <w:vAlign w:val="center"/>
          </w:tcPr>
          <w:p w14:paraId="695C556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FBD39A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4A09CB6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1FC9423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29CDA58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44ACE8F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CE7BC5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0601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62A3A8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5A20AB53">
            <w:pPr>
              <w:spacing w:line="300" w:lineRule="exact"/>
              <w:rPr>
                <w:rFonts w:ascii="方正仿宋简体" w:eastAsia="方正仿宋简体"/>
                <w:b/>
                <w:bCs/>
                <w:sz w:val="21"/>
                <w:szCs w:val="21"/>
              </w:rPr>
            </w:pPr>
          </w:p>
        </w:tc>
        <w:tc>
          <w:tcPr>
            <w:tcW w:w="2878" w:type="dxa"/>
            <w:tcMar>
              <w:left w:w="57" w:type="dxa"/>
              <w:right w:w="57" w:type="dxa"/>
            </w:tcMar>
          </w:tcPr>
          <w:p w14:paraId="449AC504">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3.要求提供公开出版物</w:t>
            </w:r>
          </w:p>
        </w:tc>
        <w:tc>
          <w:tcPr>
            <w:tcW w:w="791" w:type="dxa"/>
            <w:tcMar>
              <w:left w:w="57" w:type="dxa"/>
              <w:right w:w="57" w:type="dxa"/>
            </w:tcMar>
            <w:vAlign w:val="center"/>
          </w:tcPr>
          <w:p w14:paraId="042447F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2626AFF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420D76A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4941C06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6818EAD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6BF3D7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6FE3C69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7C37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3C264EF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5C672873">
            <w:pPr>
              <w:spacing w:line="300" w:lineRule="exact"/>
              <w:rPr>
                <w:rFonts w:ascii="方正仿宋简体" w:eastAsia="方正仿宋简体"/>
                <w:b/>
                <w:bCs/>
                <w:sz w:val="21"/>
                <w:szCs w:val="21"/>
              </w:rPr>
            </w:pPr>
          </w:p>
        </w:tc>
        <w:tc>
          <w:tcPr>
            <w:tcW w:w="2878" w:type="dxa"/>
            <w:tcMar>
              <w:left w:w="57" w:type="dxa"/>
              <w:right w:w="57" w:type="dxa"/>
            </w:tcMar>
          </w:tcPr>
          <w:p w14:paraId="1499BD4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4.无正当理由大量反复申请</w:t>
            </w:r>
          </w:p>
        </w:tc>
        <w:tc>
          <w:tcPr>
            <w:tcW w:w="791" w:type="dxa"/>
            <w:tcMar>
              <w:left w:w="57" w:type="dxa"/>
              <w:right w:w="57" w:type="dxa"/>
            </w:tcMar>
            <w:vAlign w:val="center"/>
          </w:tcPr>
          <w:p w14:paraId="1A870F8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14F5016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FDA6DA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D3D660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61D297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0B0DCFE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B7701F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13B8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6BA851B9">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C0F51E7">
            <w:pPr>
              <w:spacing w:line="300" w:lineRule="exact"/>
              <w:rPr>
                <w:rFonts w:ascii="方正仿宋简体" w:eastAsia="方正仿宋简体"/>
                <w:b/>
                <w:bCs/>
                <w:sz w:val="21"/>
                <w:szCs w:val="21"/>
              </w:rPr>
            </w:pPr>
          </w:p>
        </w:tc>
        <w:tc>
          <w:tcPr>
            <w:tcW w:w="2878" w:type="dxa"/>
            <w:tcMar>
              <w:left w:w="57" w:type="dxa"/>
              <w:right w:w="57" w:type="dxa"/>
            </w:tcMar>
            <w:vAlign w:val="center"/>
          </w:tcPr>
          <w:p w14:paraId="51C23351">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5.要求行政机关确认或重新出具已获取信息</w:t>
            </w:r>
          </w:p>
        </w:tc>
        <w:tc>
          <w:tcPr>
            <w:tcW w:w="791" w:type="dxa"/>
            <w:tcMar>
              <w:left w:w="57" w:type="dxa"/>
              <w:right w:w="57" w:type="dxa"/>
            </w:tcMar>
            <w:vAlign w:val="center"/>
          </w:tcPr>
          <w:p w14:paraId="77E4CF9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543ABCCA">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71C566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31E3426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15FC1D00">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AB2A60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5112E65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893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4AC13ED">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14:paraId="4ECC9871">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（六）其他处理</w:t>
            </w:r>
          </w:p>
        </w:tc>
        <w:tc>
          <w:tcPr>
            <w:tcW w:w="2878" w:type="dxa"/>
            <w:tcMar>
              <w:left w:w="57" w:type="dxa"/>
              <w:right w:w="57" w:type="dxa"/>
            </w:tcMar>
            <w:vAlign w:val="center"/>
          </w:tcPr>
          <w:p w14:paraId="270BB0DA">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1.申请人无正当理由逾期不补正、行政机关不再处理其政府信息公开申请</w:t>
            </w:r>
          </w:p>
        </w:tc>
        <w:tc>
          <w:tcPr>
            <w:tcW w:w="791" w:type="dxa"/>
            <w:tcMar>
              <w:left w:w="57" w:type="dxa"/>
              <w:right w:w="57" w:type="dxa"/>
            </w:tcMar>
            <w:vAlign w:val="center"/>
          </w:tcPr>
          <w:p w14:paraId="703C1714">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0E81815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6EB1EA2E">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2B2E17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4B55B7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16355F65">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7770A4C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6AD6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546F734">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02F31844">
            <w:pPr>
              <w:spacing w:line="300" w:lineRule="exact"/>
              <w:rPr>
                <w:rFonts w:ascii="方正仿宋简体" w:eastAsia="方正仿宋简体"/>
                <w:b/>
                <w:bCs/>
                <w:sz w:val="21"/>
                <w:szCs w:val="21"/>
              </w:rPr>
            </w:pPr>
          </w:p>
        </w:tc>
        <w:tc>
          <w:tcPr>
            <w:tcW w:w="2878" w:type="dxa"/>
            <w:tcMar>
              <w:left w:w="57" w:type="dxa"/>
              <w:right w:w="57" w:type="dxa"/>
            </w:tcMar>
            <w:vAlign w:val="center"/>
          </w:tcPr>
          <w:p w14:paraId="2A0A9DFC">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2.申请人逾期未按收费通知要求缴纳费用、行政机关不再处理其政府信息公开申请</w:t>
            </w:r>
          </w:p>
        </w:tc>
        <w:tc>
          <w:tcPr>
            <w:tcW w:w="791" w:type="dxa"/>
            <w:tcMar>
              <w:left w:w="57" w:type="dxa"/>
              <w:right w:w="57" w:type="dxa"/>
            </w:tcMar>
            <w:vAlign w:val="center"/>
          </w:tcPr>
          <w:p w14:paraId="6124634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7BF1575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3B4DAA8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6145ABA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A37EA3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26D5D2A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30303DE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14:paraId="37A0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3F9F27D6">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14:paraId="1A9DFD9B">
            <w:pPr>
              <w:spacing w:line="300" w:lineRule="exact"/>
              <w:rPr>
                <w:rFonts w:ascii="方正仿宋简体" w:eastAsia="方正仿宋简体"/>
                <w:b/>
                <w:bCs/>
                <w:sz w:val="21"/>
                <w:szCs w:val="21"/>
              </w:rPr>
            </w:pPr>
          </w:p>
        </w:tc>
        <w:tc>
          <w:tcPr>
            <w:tcW w:w="2878" w:type="dxa"/>
            <w:tcMar>
              <w:left w:w="57" w:type="dxa"/>
              <w:right w:w="57" w:type="dxa"/>
            </w:tcMar>
            <w:vAlign w:val="center"/>
          </w:tcPr>
          <w:p w14:paraId="62D5128A">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3.其他</w:t>
            </w:r>
          </w:p>
        </w:tc>
        <w:tc>
          <w:tcPr>
            <w:tcW w:w="791" w:type="dxa"/>
            <w:tcMar>
              <w:left w:w="57" w:type="dxa"/>
              <w:right w:w="57" w:type="dxa"/>
            </w:tcMar>
            <w:vAlign w:val="center"/>
          </w:tcPr>
          <w:p w14:paraId="48CA57D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14:paraId="2C05BF2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0C330B9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F8211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0DF568FC">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54F56C30">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1031CDFE">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14:paraId="6772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0A5682C">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14:paraId="230FE140">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（七）总计</w:t>
            </w:r>
          </w:p>
        </w:tc>
        <w:tc>
          <w:tcPr>
            <w:tcW w:w="791" w:type="dxa"/>
            <w:tcMar>
              <w:left w:w="57" w:type="dxa"/>
              <w:right w:w="57" w:type="dxa"/>
            </w:tcMar>
            <w:vAlign w:val="center"/>
          </w:tcPr>
          <w:p w14:paraId="1652676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c>
          <w:tcPr>
            <w:tcW w:w="599" w:type="dxa"/>
            <w:tcMar>
              <w:left w:w="57" w:type="dxa"/>
              <w:right w:w="57" w:type="dxa"/>
            </w:tcMar>
            <w:vAlign w:val="center"/>
          </w:tcPr>
          <w:p w14:paraId="358852B3">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64636FF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2DE8C05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518186B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7D0FC8AD">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231F62B2">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1</w:t>
            </w:r>
          </w:p>
        </w:tc>
      </w:tr>
      <w:tr w14:paraId="40C6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264B0154">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四、结转下年度继续办理</w:t>
            </w:r>
          </w:p>
        </w:tc>
        <w:tc>
          <w:tcPr>
            <w:tcW w:w="791" w:type="dxa"/>
            <w:tcMar>
              <w:left w:w="57" w:type="dxa"/>
              <w:right w:w="57" w:type="dxa"/>
            </w:tcMar>
            <w:vAlign w:val="center"/>
          </w:tcPr>
          <w:p w14:paraId="65B1F37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14:paraId="06B47A19">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14:paraId="1118EEC6">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14:paraId="5109538B">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14:paraId="496D397F">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14:paraId="327B6E98">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14:paraId="4242CD5D">
            <w:pPr>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bl>
    <w:p w14:paraId="59FF98FD">
      <w:pPr>
        <w:spacing w:line="590" w:lineRule="exact"/>
        <w:ind w:right="-100" w:rightChars="-50" w:firstLine="643" w:firstLineChars="200"/>
        <w:rPr>
          <w:rStyle w:val="5"/>
          <w:rFonts w:hint="eastAsia" w:ascii="黑体" w:hAnsi="黑体" w:eastAsia="黑体" w:cs="黑体"/>
          <w:i w:val="0"/>
          <w:iCs w:val="0"/>
          <w:caps w:val="0"/>
          <w:color w:val="333333"/>
          <w:spacing w:val="0"/>
          <w:kern w:val="0"/>
          <w:sz w:val="32"/>
          <w:szCs w:val="32"/>
          <w:lang w:val="en-US" w:eastAsia="zh-CN" w:bidi="ar"/>
        </w:rPr>
      </w:pPr>
      <w:r>
        <w:rPr>
          <w:rStyle w:val="5"/>
          <w:rFonts w:hint="eastAsia" w:ascii="黑体" w:hAnsi="黑体" w:eastAsia="黑体" w:cs="黑体"/>
          <w:i w:val="0"/>
          <w:iCs w:val="0"/>
          <w:caps w:val="0"/>
          <w:color w:val="333333"/>
          <w:spacing w:val="0"/>
          <w:kern w:val="0"/>
          <w:sz w:val="32"/>
          <w:szCs w:val="32"/>
          <w:lang w:val="en-US" w:eastAsia="zh-CN" w:bidi="ar"/>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55C0FC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0ACB2DA">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E69500F">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行政诉讼</w:t>
            </w:r>
          </w:p>
        </w:tc>
      </w:tr>
      <w:tr w14:paraId="62EB7D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1DD7296E">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29F5B803">
            <w:pPr>
              <w:widowControl/>
              <w:spacing w:line="340" w:lineRule="exact"/>
              <w:ind w:left="-40" w:leftChars="-20" w:right="-40" w:rightChars="-20"/>
              <w:jc w:val="center"/>
              <w:rPr>
                <w:rFonts w:ascii="方正黑体简体" w:hAnsi="宋体" w:eastAsia="方正黑体简体" w:cs="宋体"/>
                <w:b/>
                <w:bCs/>
                <w:sz w:val="21"/>
                <w:szCs w:val="21"/>
              </w:rPr>
            </w:pPr>
            <w:r>
              <w:rPr>
                <w:rFonts w:hint="eastAsia" w:ascii="方正黑体简体" w:hAnsi="宋体" w:eastAsia="方正黑体简体" w:cs="宋体"/>
                <w:b/>
                <w:bCs/>
                <w:sz w:val="21"/>
                <w:szCs w:val="21"/>
              </w:rPr>
              <w:t>结果</w:t>
            </w:r>
          </w:p>
          <w:p w14:paraId="21842402">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59AB0E2">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14:paraId="1B28F28F">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9D60CD8">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14:paraId="06AEA291">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7565CEB">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BD92410">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7DFBC4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复议后起诉</w:t>
            </w:r>
          </w:p>
        </w:tc>
      </w:tr>
      <w:tr w14:paraId="53F155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04B4D0A8">
            <w:pPr>
              <w:spacing w:line="340" w:lineRule="exact"/>
              <w:ind w:left="-40" w:leftChars="-20" w:right="-40" w:rightChars="-20"/>
              <w:rPr>
                <w:rFonts w:ascii="方正黑体简体" w:eastAsia="方正黑体简体"/>
                <w:b/>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25DE7FF6">
            <w:pPr>
              <w:spacing w:line="340" w:lineRule="exact"/>
              <w:ind w:left="-40" w:leftChars="-20" w:right="-40" w:rightChars="-20"/>
              <w:rPr>
                <w:rFonts w:ascii="方正黑体简体" w:eastAsia="方正黑体简体"/>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0229F44">
            <w:pPr>
              <w:spacing w:line="340" w:lineRule="exact"/>
              <w:ind w:left="-40" w:leftChars="-20" w:right="-40" w:rightChars="-20"/>
              <w:rPr>
                <w:rFonts w:ascii="方正黑体简体" w:eastAsia="方正黑体简体"/>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AB09B91">
            <w:pPr>
              <w:spacing w:line="340" w:lineRule="exact"/>
              <w:ind w:left="-40" w:leftChars="-20" w:right="-40" w:rightChars="-20"/>
              <w:rPr>
                <w:rFonts w:ascii="方正黑体简体" w:eastAsia="方正黑体简体"/>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FBCB2DB">
            <w:pPr>
              <w:spacing w:line="340" w:lineRule="exact"/>
              <w:ind w:left="-40" w:leftChars="-20" w:right="-40" w:rightChars="-20"/>
              <w:rPr>
                <w:rFonts w:ascii="方正黑体简体" w:eastAsia="方正黑体简体"/>
                <w:b/>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13FF1235">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51280D93">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1F79C037">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507DC78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63370DB">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14:paraId="74E2A8F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775C6FA">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14:paraId="67260619">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4B1E046">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15E0DE4">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38E5214C">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01E662F">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14:paraId="47D2601E">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89F736F">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14:paraId="3D4FDFC7">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15562DE">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14:paraId="5FA1DB29">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2733355">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14:paraId="5576BB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59DD41C5">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1</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2C512F64">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7400B76D">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59939731">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04824A54">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1</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7DB8B15B">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0A5A9CE">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129212A9">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3A3787B7">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116CCFF9">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4E83DFD3">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405D08B8">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1CB0526F">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44032404">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3CF786D1">
            <w:pPr>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r>
    </w:tbl>
    <w:p w14:paraId="1BA4B7F7">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Style w:val="5"/>
          <w:rFonts w:hint="eastAsia" w:ascii="黑体" w:hAnsi="黑体" w:eastAsia="黑体" w:cs="黑体"/>
          <w:i w:val="0"/>
          <w:iCs w:val="0"/>
          <w:caps w:val="0"/>
          <w:color w:val="333333"/>
          <w:spacing w:val="0"/>
          <w:kern w:val="0"/>
          <w:sz w:val="32"/>
          <w:szCs w:val="32"/>
          <w:lang w:val="en-US" w:eastAsia="zh-CN" w:bidi="ar"/>
        </w:rPr>
      </w:pPr>
      <w:r>
        <w:rPr>
          <w:rStyle w:val="5"/>
          <w:rFonts w:hint="eastAsia" w:ascii="黑体" w:hAnsi="黑体" w:eastAsia="黑体" w:cs="黑体"/>
          <w:i w:val="0"/>
          <w:iCs w:val="0"/>
          <w:caps w:val="0"/>
          <w:color w:val="333333"/>
          <w:spacing w:val="0"/>
          <w:kern w:val="0"/>
          <w:sz w:val="32"/>
          <w:szCs w:val="32"/>
          <w:lang w:val="en-US" w:eastAsia="zh-CN" w:bidi="ar"/>
        </w:rPr>
        <w:t>五、存在的主要问题及改进情况</w:t>
      </w:r>
    </w:p>
    <w:p w14:paraId="35981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方正仿宋简体" w:hAnsi="方正仿宋简体" w:eastAsia="方正仿宋简体" w:cs="方正仿宋简体"/>
          <w:b/>
          <w:bCs/>
          <w:color w:val="000000" w:themeColor="text1"/>
          <w:kern w:val="0"/>
          <w:sz w:val="32"/>
          <w:szCs w:val="32"/>
          <w:lang w:val="en-US" w:eastAsia="zh-CN" w:bidi="ar-SA"/>
          <w14:textFill>
            <w14:solidFill>
              <w14:schemeClr w14:val="tx1"/>
            </w14:solidFill>
          </w14:textFill>
        </w:rPr>
      </w:pP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人力资源部已通过积极推进</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政务信息公开</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工作，丰富</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信息公开形式</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、完善</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网站服务功能</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、及时主动更新</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网站栏目</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等方面对上年度的问题进行整改，</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信息公开</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工作取得了一定成效，</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但是</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本年度</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还存在其他方面的问题，例如，政策解读的形式还不够丰富，信息公开的便民性还不够到位，有效处理各类申请并作出准确答复的能力还有待进一步提升。下一步，</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人力资源部</w:t>
      </w:r>
      <w:r>
        <w:rPr>
          <w:rStyle w:val="5"/>
          <w:rFonts w:hint="default" w:ascii="方正仿宋简体" w:hAnsi="方正仿宋简体" w:eastAsia="方正仿宋简体" w:cs="方正仿宋简体"/>
          <w:b/>
          <w:bCs w:val="0"/>
          <w:i w:val="0"/>
          <w:iCs w:val="0"/>
          <w:caps w:val="0"/>
          <w:color w:val="auto"/>
          <w:spacing w:val="0"/>
          <w:kern w:val="2"/>
          <w:sz w:val="32"/>
          <w:szCs w:val="32"/>
          <w:lang w:val="en-US" w:eastAsia="zh-CN" w:bidi="ar-SA"/>
        </w:rPr>
        <w:t>将继续深入贯彻落实《条例》和规定的各项要求，将政府信息公开的内容进行全面、多角度公开，深入解读相关政策文件，把政府信息公开工作落到实处；规范栏目设置，充实栏目内容，紧跟时代发展，展现形式多样化。调动做好政府信息公开工作的积极性，进一步提升政务服务水平。</w:t>
      </w:r>
    </w:p>
    <w:p w14:paraId="468A2E4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Style w:val="5"/>
          <w:rFonts w:hint="default" w:ascii="黑体" w:hAnsi="黑体" w:eastAsia="黑体" w:cs="黑体"/>
          <w:i w:val="0"/>
          <w:iCs w:val="0"/>
          <w:caps w:val="0"/>
          <w:color w:val="333333"/>
          <w:spacing w:val="0"/>
          <w:kern w:val="0"/>
          <w:sz w:val="32"/>
          <w:szCs w:val="32"/>
          <w:lang w:val="en-US" w:eastAsia="zh-CN" w:bidi="ar"/>
        </w:rPr>
      </w:pPr>
      <w:r>
        <w:rPr>
          <w:rStyle w:val="5"/>
          <w:rFonts w:hint="eastAsia" w:ascii="黑体" w:hAnsi="黑体" w:eastAsia="黑体" w:cs="黑体"/>
          <w:i w:val="0"/>
          <w:iCs w:val="0"/>
          <w:caps w:val="0"/>
          <w:color w:val="333333"/>
          <w:spacing w:val="0"/>
          <w:kern w:val="0"/>
          <w:sz w:val="32"/>
          <w:szCs w:val="32"/>
          <w:lang w:val="en-US" w:eastAsia="zh-CN" w:bidi="ar"/>
        </w:rPr>
        <w:t>六、其他需要报告的事项</w:t>
      </w:r>
    </w:p>
    <w:p w14:paraId="0070D31F">
      <w:pPr>
        <w:numPr>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 xml:space="preserve">(一) </w:t>
      </w: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依据《政府信息公开信息处理费管理办法》收取信息处理费的情况：</w:t>
      </w:r>
    </w:p>
    <w:p w14:paraId="34BCB299">
      <w:pPr>
        <w:spacing w:line="600" w:lineRule="exact"/>
        <w:ind w:firstLine="643" w:firstLineChars="200"/>
        <w:rPr>
          <w:rFonts w:hint="eastAsia" w:ascii="方正仿宋简体" w:hAnsi="Calibri" w:eastAsia="方正仿宋简体" w:cstheme="minorBidi"/>
          <w:b/>
          <w:color w:val="000000"/>
          <w:kern w:val="2"/>
          <w:sz w:val="32"/>
          <w:szCs w:val="32"/>
          <w:lang w:val="en-US" w:eastAsia="zh-CN"/>
        </w:rPr>
      </w:pPr>
      <w:r>
        <w:rPr>
          <w:rFonts w:hint="eastAsia" w:ascii="方正仿宋简体" w:hAnsi="Calibri" w:eastAsia="方正仿宋简体" w:cstheme="minorBidi"/>
          <w:b/>
          <w:color w:val="000000"/>
          <w:kern w:val="2"/>
          <w:sz w:val="32"/>
          <w:szCs w:val="32"/>
          <w:lang w:val="en-US" w:eastAsia="zh-CN"/>
        </w:rPr>
        <w:t>本年度无收取信息处理费情况。</w:t>
      </w:r>
    </w:p>
    <w:p w14:paraId="3978E3B9">
      <w:pPr>
        <w:numPr>
          <w:ilvl w:val="0"/>
          <w:numId w:val="0"/>
        </w:numPr>
        <w:ind w:firstLine="643" w:firstLineChars="200"/>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pPr>
      <w:r>
        <w:rPr>
          <w:rFonts w:hint="eastAsia" w:ascii="方正楷体简体" w:hAnsi="方正楷体简体" w:eastAsia="方正楷体简体" w:cs="方正楷体简体"/>
          <w:b/>
          <w:bCs w:val="0"/>
          <w:i w:val="0"/>
          <w:iCs w:val="0"/>
          <w:caps w:val="0"/>
          <w:color w:val="auto"/>
          <w:spacing w:val="0"/>
          <w:kern w:val="2"/>
          <w:sz w:val="32"/>
          <w:szCs w:val="32"/>
          <w:lang w:val="en-US" w:eastAsia="zh-CN" w:bidi="ar-SA"/>
        </w:rPr>
        <w:t>（二）</w:t>
      </w: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本行政机关落实上级年度政务公开工作要点情况：</w:t>
      </w:r>
    </w:p>
    <w:p w14:paraId="22078DBB">
      <w:pPr>
        <w:numPr>
          <w:ilvl w:val="0"/>
          <w:numId w:val="0"/>
        </w:num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2024年，人力资源部</w:t>
      </w:r>
      <w:r>
        <w:rPr>
          <w:rFonts w:hint="default" w:ascii="方正仿宋简体" w:eastAsia="方正仿宋简体"/>
          <w:b/>
          <w:color w:val="000000" w:themeColor="text1"/>
          <w:sz w:val="32"/>
          <w:szCs w:val="32"/>
          <w:lang w:val="en-US" w:eastAsia="zh-CN"/>
          <w14:textFill>
            <w14:solidFill>
              <w14:schemeClr w14:val="tx1"/>
            </w14:solidFill>
          </w14:textFill>
        </w:rPr>
        <w:t>按照《中华人民共和国政府信息公开条例》要求，认真贯彻落实决策公开、执行公开、服务公开等，进一步提高信息公开工作的质量和效率。</w:t>
      </w:r>
    </w:p>
    <w:p w14:paraId="56F02838">
      <w:pPr>
        <w:numPr>
          <w:ilvl w:val="0"/>
          <w:numId w:val="0"/>
        </w:numPr>
        <w:spacing w:line="590" w:lineRule="exact"/>
        <w:ind w:right="-100" w:rightChars="-50" w:firstLine="643" w:firstLineChars="200"/>
        <w:rPr>
          <w:rStyle w:val="5"/>
          <w:rFonts w:hint="default" w:ascii="方正楷体简体" w:hAnsi="方正楷体简体" w:eastAsia="方正楷体简体" w:cs="方正楷体简体"/>
          <w:b/>
          <w:bCs w:val="0"/>
          <w:i w:val="0"/>
          <w:iCs w:val="0"/>
          <w:caps w:val="0"/>
          <w:color w:val="auto"/>
          <w:spacing w:val="0"/>
          <w:kern w:val="2"/>
          <w:sz w:val="32"/>
          <w:szCs w:val="32"/>
          <w:lang w:val="en-US" w:eastAsia="zh-CN"/>
        </w:rPr>
      </w:pP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w:t>
      </w: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三）</w:t>
      </w:r>
      <w:r>
        <w:rPr>
          <w:rStyle w:val="5"/>
          <w:rFonts w:hint="default" w:ascii="方正楷体简体" w:hAnsi="方正楷体简体" w:eastAsia="方正楷体简体" w:cs="方正楷体简体"/>
          <w:b/>
          <w:bCs w:val="0"/>
          <w:i w:val="0"/>
          <w:iCs w:val="0"/>
          <w:caps w:val="0"/>
          <w:color w:val="auto"/>
          <w:spacing w:val="0"/>
          <w:kern w:val="2"/>
          <w:sz w:val="32"/>
          <w:szCs w:val="32"/>
          <w:lang w:val="en-US" w:eastAsia="zh-CN"/>
        </w:rPr>
        <w:t>人大代表建议和政协提案办理结果公开情况：</w:t>
      </w:r>
    </w:p>
    <w:p w14:paraId="7B7109CE">
      <w:pPr>
        <w:numPr>
          <w:ilvl w:val="0"/>
          <w:numId w:val="0"/>
        </w:numPr>
        <w:spacing w:line="590" w:lineRule="exact"/>
        <w:ind w:right="-100" w:rightChars="-50" w:firstLine="420" w:firstLineChars="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4</w:t>
      </w:r>
      <w:r>
        <w:rPr>
          <w:rFonts w:hint="default" w:ascii="方正仿宋简体" w:eastAsia="方正仿宋简体"/>
          <w:b/>
          <w:color w:val="000000" w:themeColor="text1"/>
          <w:sz w:val="32"/>
          <w:szCs w:val="32"/>
          <w:lang w:val="en-US" w:eastAsia="zh-CN"/>
          <w14:textFill>
            <w14:solidFill>
              <w14:schemeClr w14:val="tx1"/>
            </w14:solidFill>
          </w14:textFill>
        </w:rPr>
        <w:t>年我部门未收到人大代表建议和政协提案。</w:t>
      </w:r>
    </w:p>
    <w:p w14:paraId="7131CF22">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Style w:val="5"/>
          <w:rFonts w:hint="eastAsia" w:ascii="方正楷体简体" w:hAnsi="方正楷体简体" w:eastAsia="方正楷体简体" w:cs="方正楷体简体"/>
          <w:b/>
          <w:bCs w:val="0"/>
          <w:i w:val="0"/>
          <w:iCs w:val="0"/>
          <w:caps w:val="0"/>
          <w:color w:val="auto"/>
          <w:spacing w:val="0"/>
          <w:kern w:val="2"/>
          <w:sz w:val="32"/>
          <w:szCs w:val="32"/>
          <w:lang w:val="en-US" w:eastAsia="zh-CN"/>
        </w:rPr>
        <w:t>（四）其他有关文件专门要求通过政府信息公开工作年度报告予以报告的事项：</w:t>
      </w:r>
      <w:r>
        <w:rPr>
          <w:rFonts w:hint="eastAsia" w:ascii="方正仿宋简体" w:eastAsia="方正仿宋简体"/>
          <w:b/>
          <w:color w:val="000000" w:themeColor="text1"/>
          <w:sz w:val="32"/>
          <w:szCs w:val="32"/>
          <w14:textFill>
            <w14:solidFill>
              <w14:schemeClr w14:val="tx1"/>
            </w14:solidFill>
          </w14:textFill>
        </w:rPr>
        <w:t>无。</w:t>
      </w:r>
    </w:p>
    <w:p w14:paraId="4FC0054B">
      <w:pPr>
        <w:ind w:firstLine="643" w:firstLineChars="200"/>
        <w:rPr>
          <w:rFonts w:hint="eastAsia" w:ascii="方正仿宋简体" w:hAnsi="方正仿宋简体" w:eastAsia="方正仿宋简体" w:cs="方正仿宋简体"/>
          <w:b/>
          <w:bCs/>
          <w:i w:val="0"/>
          <w:caps w:val="0"/>
          <w:color w:val="000000" w:themeColor="text1"/>
          <w:spacing w:val="0"/>
          <w:kern w:val="0"/>
          <w:sz w:val="32"/>
          <w:szCs w:val="32"/>
          <w:u w:val="none"/>
          <w:shd w:val="clear" w:color="auto" w:fill="FFFFFF"/>
          <w:lang w:val="en-US" w:eastAsia="zh-CN" w:bidi="ar"/>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510D6B88"/>
    <w:rsid w:val="02BF77C8"/>
    <w:rsid w:val="02D54924"/>
    <w:rsid w:val="056B1570"/>
    <w:rsid w:val="07817B70"/>
    <w:rsid w:val="0CC51EAD"/>
    <w:rsid w:val="0DDF6F9F"/>
    <w:rsid w:val="1074577C"/>
    <w:rsid w:val="11AE4CBE"/>
    <w:rsid w:val="17D15BAA"/>
    <w:rsid w:val="1D0E6870"/>
    <w:rsid w:val="1D61177E"/>
    <w:rsid w:val="1D82218E"/>
    <w:rsid w:val="20376A5E"/>
    <w:rsid w:val="208C266E"/>
    <w:rsid w:val="21B802D7"/>
    <w:rsid w:val="24C30629"/>
    <w:rsid w:val="25BB13EE"/>
    <w:rsid w:val="285338B7"/>
    <w:rsid w:val="2DB831E9"/>
    <w:rsid w:val="2DFD4BAB"/>
    <w:rsid w:val="31F167D5"/>
    <w:rsid w:val="33D4015C"/>
    <w:rsid w:val="3401315A"/>
    <w:rsid w:val="347436ED"/>
    <w:rsid w:val="34B05393"/>
    <w:rsid w:val="36115A86"/>
    <w:rsid w:val="361C5DEB"/>
    <w:rsid w:val="36444A78"/>
    <w:rsid w:val="38FF7E2A"/>
    <w:rsid w:val="390F27B6"/>
    <w:rsid w:val="39116DC0"/>
    <w:rsid w:val="39BC1783"/>
    <w:rsid w:val="39FD5F33"/>
    <w:rsid w:val="3A105C66"/>
    <w:rsid w:val="3C8A1D00"/>
    <w:rsid w:val="3C9729AD"/>
    <w:rsid w:val="40A26362"/>
    <w:rsid w:val="413B181B"/>
    <w:rsid w:val="414D154E"/>
    <w:rsid w:val="43813201"/>
    <w:rsid w:val="43E3619A"/>
    <w:rsid w:val="444A7FC7"/>
    <w:rsid w:val="47064679"/>
    <w:rsid w:val="4D090A1F"/>
    <w:rsid w:val="4ED17C62"/>
    <w:rsid w:val="4F824AB9"/>
    <w:rsid w:val="50E13A61"/>
    <w:rsid w:val="510D6B88"/>
    <w:rsid w:val="535B7AFB"/>
    <w:rsid w:val="537C1A20"/>
    <w:rsid w:val="53B10062"/>
    <w:rsid w:val="54DA3E50"/>
    <w:rsid w:val="55474D31"/>
    <w:rsid w:val="56D848CE"/>
    <w:rsid w:val="58EE31BF"/>
    <w:rsid w:val="592F2C8D"/>
    <w:rsid w:val="59590F80"/>
    <w:rsid w:val="59BC0A33"/>
    <w:rsid w:val="59CB565B"/>
    <w:rsid w:val="608E69BC"/>
    <w:rsid w:val="618B5A4F"/>
    <w:rsid w:val="627B09BB"/>
    <w:rsid w:val="63D27965"/>
    <w:rsid w:val="669E23AF"/>
    <w:rsid w:val="68E66553"/>
    <w:rsid w:val="6ABC4EF5"/>
    <w:rsid w:val="6C494E84"/>
    <w:rsid w:val="6E587601"/>
    <w:rsid w:val="705636CC"/>
    <w:rsid w:val="74A05D67"/>
    <w:rsid w:val="762E292C"/>
    <w:rsid w:val="7A293BFF"/>
    <w:rsid w:val="7ADD3367"/>
    <w:rsid w:val="7B851309"/>
    <w:rsid w:val="7CA37C99"/>
    <w:rsid w:val="7E234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政务热线1331条</c:v>
                </c:pt>
                <c:pt idx="1">
                  <c:v>主动公开政府信息202条</c:v>
                </c:pt>
              </c:strCache>
            </c:strRef>
          </c:cat>
          <c:val>
            <c:numRef>
              <c:f>Sheet1!$B$2:$B$3</c:f>
              <c:numCache>
                <c:formatCode>General</c:formatCode>
                <c:ptCount val="2"/>
                <c:pt idx="0">
                  <c:v>3230</c:v>
                </c:pt>
                <c:pt idx="1">
                  <c:v>202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73c5bc-110d-4ea2-a331-743c841664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近几年变化情况</a:t>
            </a:r>
          </a:p>
        </c:rich>
      </c:tx>
      <c:layout>
        <c:manualLayout>
          <c:xMode val="edge"/>
          <c:yMode val="edge"/>
          <c:x val="0.354940099614687"/>
          <c:y val="0.0343593743292862"/>
        </c:manualLayout>
      </c:layout>
      <c:overlay val="0"/>
      <c:spPr>
        <a:noFill/>
        <a:ln>
          <a:noFill/>
        </a:ln>
        <a:effectLst/>
      </c:spPr>
    </c:title>
    <c:autoTitleDeleted val="0"/>
    <c:plotArea>
      <c:layout>
        <c:manualLayout>
          <c:layoutTarget val="inner"/>
          <c:xMode val="edge"/>
          <c:yMode val="edge"/>
          <c:x val="0.0624870619547538"/>
          <c:y val="0.177198353561539"/>
          <c:w val="0.930345494080696"/>
          <c:h val="0.638631534211645"/>
        </c:manualLayout>
      </c:layout>
      <c:lineChart>
        <c:grouping val="standard"/>
        <c:varyColors val="0"/>
        <c:ser>
          <c:idx val="0"/>
          <c:order val="0"/>
          <c:tx>
            <c:strRef>
              <c:f>Sheet1!$B$1</c:f>
              <c:strCache>
                <c:ptCount val="1"/>
                <c:pt idx="0">
                  <c:v>年份</c:v>
                </c:pt>
              </c:strCache>
            </c:strRef>
          </c:tx>
          <c:spPr>
            <a:ln w="28575" cap="rnd">
              <a:solidFill>
                <a:schemeClr val="accent1"/>
              </a:solidFill>
              <a:round/>
            </a:ln>
            <a:effectLst/>
          </c:spPr>
          <c:marker>
            <c:symbol val="none"/>
          </c:marker>
          <c:dLbls>
            <c:delete val="1"/>
          </c:dLbls>
          <c:cat>
            <c:numRef>
              <c:f>Sheet1!$A$2:$A$5</c:f>
              <c:numCache>
                <c:formatCode>General</c:formatCode>
                <c:ptCount val="4"/>
                <c:pt idx="0">
                  <c:v>2021</c:v>
                </c:pt>
                <c:pt idx="1">
                  <c:v>2022</c:v>
                </c:pt>
                <c:pt idx="2">
                  <c:v>2023</c:v>
                </c:pt>
                <c:pt idx="3">
                  <c:v>2024</c:v>
                </c:pt>
              </c:numCache>
            </c:numRef>
          </c:cat>
          <c:val>
            <c:numRef>
              <c:f>Sheet1!$B$2:$B$5</c:f>
              <c:numCache>
                <c:formatCode>General</c:formatCode>
                <c:ptCount val="4"/>
                <c:pt idx="0">
                  <c:v>0</c:v>
                </c:pt>
                <c:pt idx="1">
                  <c:v>1</c:v>
                </c:pt>
                <c:pt idx="2">
                  <c:v>0</c:v>
                </c:pt>
                <c:pt idx="3">
                  <c:v>1</c:v>
                </c:pt>
              </c:numCache>
            </c:numRef>
          </c:val>
          <c:smooth val="0"/>
        </c:ser>
        <c:ser>
          <c:idx val="1"/>
          <c:order val="1"/>
          <c:tx>
            <c:strRef>
              <c:f>Sheet1!#REF!</c:f>
              <c:strCache>
                <c:ptCount val="1"/>
                <c:pt idx="0">
                  <c:v/>
                </c:pt>
              </c:strCache>
            </c:strRef>
          </c:tx>
          <c:spPr>
            <a:ln w="28575" cap="rnd">
              <a:solidFill>
                <a:schemeClr val="accent2"/>
              </a:solidFill>
              <a:round/>
            </a:ln>
            <a:effectLst/>
          </c:spPr>
          <c:marker>
            <c:symbol val="none"/>
          </c:marker>
          <c:dLbls>
            <c:delete val="1"/>
          </c:dLbls>
          <c:cat>
            <c:numRef>
              <c:f>Sheet1!$A$2:$A$5</c:f>
              <c:numCache>
                <c:formatCode>General</c:formatCode>
                <c:ptCount val="4"/>
                <c:pt idx="0">
                  <c:v>2021</c:v>
                </c:pt>
                <c:pt idx="1">
                  <c:v>2022</c:v>
                </c:pt>
                <c:pt idx="2">
                  <c:v>2023</c:v>
                </c:pt>
                <c:pt idx="3">
                  <c:v>2024</c:v>
                </c:pt>
              </c:numCache>
            </c:numRef>
          </c:cat>
          <c:val>
            <c:numRef>
              <c:f>Sheet1!#REF!</c:f>
              <c:numCache>
                <c:formatCode>General</c:formatCode>
                <c:ptCount val="1"/>
                <c:pt idx="0">
                  <c:v>1</c:v>
                </c:pt>
              </c:numCache>
            </c:numRef>
          </c:val>
          <c:smooth val="0"/>
        </c:ser>
        <c:ser>
          <c:idx val="2"/>
          <c:order val="2"/>
          <c:tx>
            <c:strRef>
              <c:f>Sheet1!#REF!</c:f>
              <c:strCache>
                <c:ptCount val="1"/>
                <c:pt idx="0">
                  <c:v/>
                </c:pt>
              </c:strCache>
            </c:strRef>
          </c:tx>
          <c:spPr>
            <a:ln w="28575" cap="rnd">
              <a:solidFill>
                <a:schemeClr val="accent3"/>
              </a:solidFill>
              <a:round/>
            </a:ln>
            <a:effectLst/>
          </c:spPr>
          <c:marker>
            <c:symbol val="none"/>
          </c:marker>
          <c:dLbls>
            <c:delete val="1"/>
          </c:dLbls>
          <c:cat>
            <c:numRef>
              <c:f>Sheet1!$A$2:$A$5</c:f>
              <c:numCache>
                <c:formatCode>General</c:formatCode>
                <c:ptCount val="4"/>
                <c:pt idx="0">
                  <c:v>2021</c:v>
                </c:pt>
                <c:pt idx="1">
                  <c:v>2022</c:v>
                </c:pt>
                <c:pt idx="2">
                  <c:v>2023</c:v>
                </c:pt>
                <c:pt idx="3">
                  <c:v>2024</c:v>
                </c:pt>
              </c:numCache>
            </c:numRef>
          </c:cat>
          <c:val>
            <c:numRef>
              <c:f>Sheet1!#REF!</c:f>
              <c:numCache>
                <c:formatCode>General</c:formatCode>
                <c:ptCount val="1"/>
                <c:pt idx="0">
                  <c:v>1</c:v>
                </c:pt>
              </c:numCache>
            </c:numRef>
          </c:val>
          <c:smooth val="0"/>
        </c:ser>
        <c:dLbls>
          <c:showLegendKey val="0"/>
          <c:showVal val="0"/>
          <c:showCatName val="0"/>
          <c:showSerName val="0"/>
          <c:showPercent val="0"/>
          <c:showBubbleSize val="0"/>
        </c:dLbls>
        <c:marker val="0"/>
        <c:smooth val="0"/>
        <c:axId val="930917329"/>
        <c:axId val="456667800"/>
      </c:lineChart>
      <c:catAx>
        <c:axId val="9309173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6667800"/>
        <c:crosses val="autoZero"/>
        <c:auto val="1"/>
        <c:lblAlgn val="ctr"/>
        <c:lblOffset val="100"/>
        <c:noMultiLvlLbl val="0"/>
      </c:catAx>
      <c:valAx>
        <c:axId val="45666780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917329"/>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469983735028833"/>
          <c:y val="0.88334317779090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95eb4ca-3362-4075-944f-05b9ac2057c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2603</Words>
  <Characters>2696</Characters>
  <Lines>0</Lines>
  <Paragraphs>0</Paragraphs>
  <TotalTime>25</TotalTime>
  <ScaleCrop>false</ScaleCrop>
  <LinksUpToDate>false</LinksUpToDate>
  <CharactersWithSpaces>2697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2022-01-20T06:10:00Z</dcterms:created>
  <dc:creator>西鱼</dc:creator>
  <cp:lastModifiedBy>yz</cp:lastModifiedBy>
  <dcterms:modified xsi:type="dcterms:W3CDTF">2025-01-26T06:25:25Z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E40170F93E5C4D51BFD5E59C654B9CD7_13</vt:lpwstr>
  </property>
  <property fmtid="{D5CDD505-2E9C-101B-9397-08002B2CF9AE}" pid="4" name="KSOTemplateDocerSaveRecord">
    <vt:lpwstr>eyJoZGlkIjoiZDRkMTk5NWFjYzNkZGIzMTVmZTdkZjZjN2M5NDc5NjcifQ==</vt:lpwstr>
  </property>
</Properties>
</file>