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EA6DB">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p>
    <w:p w14:paraId="7F80B2C4">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济宁高新区</w:t>
      </w: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市场监管局</w:t>
      </w:r>
      <w:r>
        <w:rPr>
          <w:rFonts w:hint="default" w:ascii="Times New Roman" w:hAnsi="Times New Roman" w:eastAsia="方正小标宋简体" w:cs="Times New Roman"/>
          <w:b/>
          <w:bCs/>
          <w:color w:val="000000" w:themeColor="text1"/>
          <w:sz w:val="44"/>
          <w:szCs w:val="44"/>
          <w14:textFill>
            <w14:solidFill>
              <w14:schemeClr w14:val="tx1"/>
            </w14:solidFill>
          </w14:textFill>
        </w:rPr>
        <w:t>202</w:t>
      </w:r>
      <w:r>
        <w:rPr>
          <w:rFonts w:hint="eastAsia" w:ascii="Times New Roman" w:hAnsi="Times New Roman" w:eastAsia="方正小标宋简体" w:cs="Times New Roman"/>
          <w:b/>
          <w:bCs/>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bCs/>
          <w:color w:val="000000" w:themeColor="text1"/>
          <w:sz w:val="44"/>
          <w:szCs w:val="44"/>
          <w14:textFill>
            <w14:solidFill>
              <w14:schemeClr w14:val="tx1"/>
            </w14:solidFill>
          </w14:textFill>
        </w:rPr>
        <w:t>年</w:t>
      </w:r>
    </w:p>
    <w:p w14:paraId="022A7954">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政府</w:t>
      </w:r>
      <w:r>
        <w:rPr>
          <w:rFonts w:hint="default" w:ascii="Times New Roman" w:hAnsi="Times New Roman" w:eastAsia="方正小标宋简体" w:cs="Times New Roman"/>
          <w:b/>
          <w:bCs/>
          <w:color w:val="000000" w:themeColor="text1"/>
          <w:sz w:val="44"/>
          <w:szCs w:val="44"/>
          <w14:textFill>
            <w14:solidFill>
              <w14:schemeClr w14:val="tx1"/>
            </w14:solidFill>
          </w14:textFill>
        </w:rPr>
        <w:t>信息公开工作年度报告</w:t>
      </w:r>
    </w:p>
    <w:p w14:paraId="55C24CDE">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p>
    <w:p w14:paraId="5B36815F">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本报告由济宁高新区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14:paraId="2790A090">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1E7EC88B">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本报告所列数据的统计期限为202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color w:val="000000" w:themeColor="text1"/>
          <w:sz w:val="32"/>
          <w:szCs w:val="32"/>
          <w14:textFill>
            <w14:solidFill>
              <w14:schemeClr w14:val="tx1"/>
            </w14:solidFill>
          </w14:textFill>
        </w:rPr>
        <w:t>年1月1日至202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color w:val="000000" w:themeColor="text1"/>
          <w:sz w:val="32"/>
          <w:szCs w:val="32"/>
          <w14:textFill>
            <w14:solidFill>
              <w14:schemeClr w14:val="tx1"/>
            </w14:solidFill>
          </w14:textFill>
        </w:rPr>
        <w:t>年12月31日。本报告电子版可在“</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济宁高新区管委会</w:t>
      </w:r>
      <w:r>
        <w:rPr>
          <w:rFonts w:hint="default" w:ascii="Times New Roman" w:hAnsi="Times New Roman" w:eastAsia="方正仿宋简体" w:cs="Times New Roman"/>
          <w:b/>
          <w:bCs/>
          <w:color w:val="000000" w:themeColor="text1"/>
          <w:sz w:val="32"/>
          <w:szCs w:val="32"/>
          <w14:textFill>
            <w14:solidFill>
              <w14:schemeClr w14:val="tx1"/>
            </w14:solidFill>
          </w14:textFill>
        </w:rPr>
        <w:t>”门户网站（http://www.jnhn.gov.cn）查阅或下载。如对本报告有疑问，请与济宁高新区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济宁高新区海川路</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9号</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产学研基地T2楼7楼708</w:t>
      </w:r>
      <w:r>
        <w:rPr>
          <w:rFonts w:hint="default" w:ascii="Times New Roman" w:hAnsi="Times New Roman" w:eastAsia="方正仿宋简体" w:cs="Times New Roman"/>
          <w:b/>
          <w:bCs/>
          <w:color w:val="000000" w:themeColor="text1"/>
          <w:sz w:val="32"/>
          <w:szCs w:val="32"/>
          <w14:textFill>
            <w14:solidFill>
              <w14:schemeClr w14:val="tx1"/>
            </w14:solidFill>
          </w14:textFill>
        </w:rPr>
        <w:t>，联系电话：</w:t>
      </w:r>
      <w:r>
        <w:rPr>
          <w:rFonts w:hint="default" w:ascii="Times New Roman" w:hAnsi="Times New Roman" w:eastAsia="方正仿宋简体" w:cs="Times New Roman"/>
          <w:b/>
          <w:bCs/>
          <w:color w:val="000000" w:themeColor="text1"/>
          <w:w w:val="96"/>
          <w:sz w:val="32"/>
          <w:szCs w:val="32"/>
          <w14:textFill>
            <w14:solidFill>
              <w14:schemeClr w14:val="tx1"/>
            </w14:solidFill>
          </w14:textFill>
        </w:rPr>
        <w:t>0537</w:t>
      </w:r>
      <w:r>
        <w:rPr>
          <w:rFonts w:hint="eastAsia" w:ascii="Times New Roman" w:hAnsi="Times New Roman" w:eastAsia="方正仿宋简体" w:cs="Times New Roman"/>
          <w:b/>
          <w:bCs/>
          <w:color w:val="000000" w:themeColor="text1"/>
          <w:w w:val="96"/>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w w:val="96"/>
          <w:sz w:val="32"/>
          <w:szCs w:val="32"/>
          <w:lang w:val="en-US" w:eastAsia="zh-CN"/>
          <w14:textFill>
            <w14:solidFill>
              <w14:schemeClr w14:val="tx1"/>
            </w14:solidFill>
          </w14:textFill>
        </w:rPr>
        <w:t>3255721</w:t>
      </w:r>
      <w:r>
        <w:rPr>
          <w:rFonts w:hint="default" w:ascii="Times New Roman" w:hAnsi="Times New Roman" w:eastAsia="仿宋_GB2312" w:cs="Times New Roman"/>
          <w:b/>
          <w:bCs/>
          <w:color w:val="000000" w:themeColor="text1"/>
          <w:w w:val="96"/>
          <w:sz w:val="32"/>
          <w:szCs w:val="32"/>
          <w14:textFill>
            <w14:solidFill>
              <w14:schemeClr w14:val="tx1"/>
            </w14:solidFill>
          </w14:textFill>
        </w:rPr>
        <w:t>）。</w:t>
      </w:r>
    </w:p>
    <w:p w14:paraId="5BC91143">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1" w:firstLineChars="200"/>
        <w:jc w:val="both"/>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一、总体情况</w:t>
      </w:r>
    </w:p>
    <w:p w14:paraId="2DD64A6D">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eastAsia" w:ascii="Times New Roman" w:hAnsi="Times New Roman" w:eastAsia="方正仿宋简体" w:cs="Times New Roman"/>
          <w:b/>
          <w:bCs/>
          <w:color w:val="auto"/>
          <w:sz w:val="32"/>
          <w:szCs w:val="32"/>
          <w:lang w:eastAsia="zh-CN"/>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2025年，</w:t>
      </w:r>
      <w:r>
        <w:rPr>
          <w:rFonts w:hint="default" w:ascii="Times New Roman" w:hAnsi="Times New Roman" w:eastAsia="方正仿宋简体" w:cs="Times New Roman"/>
          <w:b/>
          <w:bCs/>
          <w:color w:val="000000" w:themeColor="text1"/>
          <w:sz w:val="32"/>
          <w:szCs w:val="32"/>
          <w14:textFill>
            <w14:solidFill>
              <w14:schemeClr w14:val="tx1"/>
            </w14:solidFill>
          </w14:textFill>
        </w:rPr>
        <w:t>高新区市场监管局坚持以习近平新时代中国特色社会主义思想为指导，深入贯彻党的二十大精神，认真落实省市区关于全面推进政务公开的决策部署，严格遵循《条例》要求，紧紧围绕市场监管</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重点</w:t>
      </w:r>
      <w:r>
        <w:rPr>
          <w:rFonts w:hint="default" w:ascii="Times New Roman" w:hAnsi="Times New Roman" w:eastAsia="方正仿宋简体" w:cs="Times New Roman"/>
          <w:b/>
          <w:bCs/>
          <w:color w:val="000000" w:themeColor="text1"/>
          <w:sz w:val="32"/>
          <w:szCs w:val="32"/>
          <w14:textFill>
            <w14:solidFill>
              <w14:schemeClr w14:val="tx1"/>
            </w14:solidFill>
          </w14:textFill>
        </w:rPr>
        <w:t>工作和人民群众关注关切，不断完善公开机制，拓展公开渠道，深化公开内容，提升公开实效，切实保障人民群众的</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知情权、参与权、表达权、监督权</w:t>
      </w:r>
      <w:r>
        <w:rPr>
          <w:rFonts w:hint="default" w:ascii="Times New Roman" w:hAnsi="Times New Roman" w:eastAsia="方正仿宋简体" w:cs="Times New Roman"/>
          <w:b/>
          <w:bCs/>
          <w:color w:val="000000" w:themeColor="text1"/>
          <w:sz w:val="32"/>
          <w:szCs w:val="32"/>
          <w14:textFill>
            <w14:solidFill>
              <w14:schemeClr w14:val="tx1"/>
            </w14:solidFill>
          </w14:textFill>
        </w:rPr>
        <w:t>，政府信息公开工作取得新进展</w:t>
      </w:r>
      <w:r>
        <w:rPr>
          <w:rFonts w:hint="default" w:ascii="Times New Roman" w:hAnsi="Times New Roman" w:eastAsia="方正仿宋简体" w:cs="Times New Roman"/>
          <w:b/>
          <w:bCs/>
          <w:color w:val="auto"/>
          <w:sz w:val="32"/>
          <w:szCs w:val="32"/>
        </w:rPr>
        <w:t>。</w:t>
      </w:r>
    </w:p>
    <w:p w14:paraId="1F0D78BF">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both"/>
        <w:textAlignment w:val="auto"/>
        <w:rPr>
          <w:rFonts w:hint="eastAsia"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t>（一）</w:t>
      </w:r>
      <w:r>
        <w:rPr>
          <w:rFonts w:hint="default" w:ascii="Times New Roman" w:hAnsi="Times New Roman" w:eastAsia="方正楷体简体" w:cs="Times New Roman"/>
          <w:b/>
          <w:bCs/>
          <w:color w:val="000000" w:themeColor="text1"/>
          <w:sz w:val="32"/>
          <w:szCs w:val="32"/>
          <w14:textFill>
            <w14:solidFill>
              <w14:schemeClr w14:val="tx1"/>
            </w14:solidFill>
          </w14:textFill>
        </w:rPr>
        <w:t>主动公开情况</w:t>
      </w:r>
    </w:p>
    <w:p w14:paraId="6E917056">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依法依规做好政府信息主动公开。全年通过济宁高新区管委会门户网站“双随机、一公开”、食品药品、产品质量、行政执法等多种渠道，主动公开各类政府信息共计</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215</w:t>
      </w:r>
      <w:r>
        <w:rPr>
          <w:rFonts w:hint="default" w:ascii="Times New Roman" w:hAnsi="Times New Roman" w:eastAsia="方正仿宋简体" w:cs="Times New Roman"/>
          <w:b/>
          <w:bCs/>
          <w:color w:val="000000" w:themeColor="text1"/>
          <w:sz w:val="32"/>
          <w:szCs w:val="32"/>
          <w14:textFill>
            <w14:solidFill>
              <w14:schemeClr w14:val="tx1"/>
            </w14:solidFill>
          </w14:textFill>
        </w:rPr>
        <w:t>条</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w:t>
      </w:r>
    </w:p>
    <w:p w14:paraId="1EF1D102">
      <w:pPr>
        <w:pStyle w:val="2"/>
        <w:keepNext/>
        <w:keepLines/>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方正仿宋简体" w:cs="Times New Roman"/>
          <w:b/>
          <w:bCs/>
          <w:color w:val="000000" w:themeColor="text1"/>
          <w:lang w:eastAsia="zh-CN"/>
          <w14:textFill>
            <w14:solidFill>
              <w14:schemeClr w14:val="tx1"/>
            </w14:solidFill>
          </w14:textFill>
        </w:rPr>
      </w:pPr>
      <w:r>
        <w:rPr>
          <w:rFonts w:hint="default" w:ascii="Times New Roman" w:hAnsi="Times New Roman" w:eastAsia="方正仿宋简体" w:cs="Times New Roman"/>
          <w:b/>
          <w:bCs/>
          <w:color w:val="000000" w:themeColor="text1"/>
          <w:lang w:eastAsia="zh-CN"/>
          <w14:textFill>
            <w14:solidFill>
              <w14:schemeClr w14:val="tx1"/>
            </w14:solidFill>
          </w14:textFill>
        </w:rPr>
        <w:drawing>
          <wp:inline distT="0" distB="0" distL="114300" distR="114300">
            <wp:extent cx="5149850" cy="2929255"/>
            <wp:effectExtent l="4445" t="4445" r="825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19FB55">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（二）依申请公开情况</w:t>
      </w:r>
    </w:p>
    <w:p w14:paraId="63063C29">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000000" w:themeColor="text1"/>
          <w:sz w:val="32"/>
          <w:szCs w:val="32"/>
          <w14:textFill>
            <w14:solidFill>
              <w14:schemeClr w14:val="tx1"/>
            </w14:solidFill>
          </w14:textFill>
        </w:rPr>
        <w:t>畅通申请渠道，规范办理流程，依法保障公民、法人和其他组织依法获取政府信息的权利。202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color w:val="000000" w:themeColor="text1"/>
          <w:sz w:val="32"/>
          <w:szCs w:val="32"/>
          <w14:textFill>
            <w14:solidFill>
              <w14:schemeClr w14:val="tx1"/>
            </w14:solidFill>
          </w14:textFill>
        </w:rPr>
        <w:t>年，共收到依申请公开件</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方正仿宋简体" w:cs="Times New Roman"/>
          <w:b/>
          <w:bCs/>
          <w:color w:val="000000" w:themeColor="text1"/>
          <w:sz w:val="32"/>
          <w:szCs w:val="32"/>
          <w14:textFill>
            <w14:solidFill>
              <w14:schemeClr w14:val="tx1"/>
            </w14:solidFill>
          </w14:textFill>
        </w:rPr>
        <w:t>件，按时答复</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方正仿宋简体" w:cs="Times New Roman"/>
          <w:b/>
          <w:bCs/>
          <w:color w:val="000000" w:themeColor="text1"/>
          <w:sz w:val="32"/>
          <w:szCs w:val="32"/>
          <w14:textFill>
            <w14:solidFill>
              <w14:schemeClr w14:val="tx1"/>
            </w14:solidFill>
          </w14:textFill>
        </w:rPr>
        <w:t>件。</w:t>
      </w:r>
      <w:r>
        <w:rPr>
          <w:rFonts w:hint="default" w:ascii="Times New Roman" w:hAnsi="Times New Roman" w:eastAsia="方正仿宋简体" w:cs="Times New Roman"/>
          <w:b/>
          <w:bCs/>
          <w:color w:val="auto"/>
          <w:sz w:val="32"/>
          <w:szCs w:val="32"/>
        </w:rPr>
        <w:t>政府信息公开行政复议</w:t>
      </w:r>
      <w:r>
        <w:rPr>
          <w:rFonts w:hint="eastAsia" w:ascii="Times New Roman" w:hAnsi="Times New Roman" w:eastAsia="方正仿宋简体" w:cs="Times New Roman"/>
          <w:b/>
          <w:bCs/>
          <w:color w:val="auto"/>
          <w:sz w:val="32"/>
          <w:szCs w:val="32"/>
          <w:lang w:val="en-US" w:eastAsia="zh-CN"/>
        </w:rPr>
        <w:t>1件，结果维持；无</w:t>
      </w:r>
      <w:r>
        <w:rPr>
          <w:rFonts w:hint="default" w:ascii="Times New Roman" w:hAnsi="Times New Roman" w:eastAsia="方正仿宋简体" w:cs="Times New Roman"/>
          <w:b/>
          <w:bCs/>
          <w:color w:val="auto"/>
          <w:sz w:val="32"/>
          <w:szCs w:val="32"/>
        </w:rPr>
        <w:t>行政诉讼案件。</w:t>
      </w:r>
    </w:p>
    <w:p w14:paraId="5385F586">
      <w:pPr>
        <w:keepNext w:val="0"/>
        <w:keepLines w:val="0"/>
        <w:pageBreakBefore w:val="0"/>
        <w:widowControl w:val="0"/>
        <w:kinsoku/>
        <w:wordWrap/>
        <w:overflowPunct/>
        <w:topLinePunct w:val="0"/>
        <w:autoSpaceDE/>
        <w:autoSpaceDN/>
        <w:bidi w:val="0"/>
        <w:adjustRightInd/>
        <w:snapToGrid/>
        <w:spacing w:after="0" w:line="240" w:lineRule="auto"/>
        <w:ind w:right="0" w:rightChars="0"/>
        <w:jc w:val="left"/>
        <w:textAlignment w:val="auto"/>
        <w:rPr>
          <w:rFonts w:hint="eastAsia" w:ascii="Times New Roman" w:hAnsi="Times New Roman" w:eastAsia="方正仿宋简体" w:cs="Times New Roman"/>
          <w:b/>
          <w:bCs/>
          <w:color w:val="auto"/>
          <w:sz w:val="32"/>
          <w:szCs w:val="32"/>
          <w:lang w:eastAsia="zh-CN"/>
        </w:rPr>
      </w:pPr>
      <w:r>
        <w:rPr>
          <w:rFonts w:hint="eastAsia" w:ascii="Times New Roman" w:hAnsi="Times New Roman" w:eastAsia="方正仿宋简体" w:cs="Times New Roman"/>
          <w:b/>
          <w:bCs/>
          <w:color w:val="auto"/>
          <w:sz w:val="32"/>
          <w:szCs w:val="32"/>
          <w:lang w:eastAsia="zh-CN"/>
        </w:rPr>
        <w:drawing>
          <wp:inline distT="0" distB="0" distL="114300" distR="114300">
            <wp:extent cx="5614670" cy="3638550"/>
            <wp:effectExtent l="0" t="0" r="5080" b="0"/>
            <wp:docPr id="1" name="图片 1" descr="依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依申请"/>
                    <pic:cNvPicPr>
                      <a:picLocks noChangeAspect="1"/>
                    </pic:cNvPicPr>
                  </pic:nvPicPr>
                  <pic:blipFill>
                    <a:blip r:embed="rId7"/>
                    <a:stretch>
                      <a:fillRect/>
                    </a:stretch>
                  </pic:blipFill>
                  <pic:spPr>
                    <a:xfrm>
                      <a:off x="0" y="0"/>
                      <a:ext cx="5614670" cy="3638550"/>
                    </a:xfrm>
                    <a:prstGeom prst="rect">
                      <a:avLst/>
                    </a:prstGeom>
                  </pic:spPr>
                </pic:pic>
              </a:graphicData>
            </a:graphic>
          </wp:inline>
        </w:drawing>
      </w:r>
    </w:p>
    <w:p w14:paraId="2CD44CBD">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（三）政府信息管理情况</w:t>
      </w:r>
    </w:p>
    <w:p w14:paraId="5F85297E">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一是健全管理制度。修订完善我局政府信息公开工作制度，明确信息审核、发布、更新、归档等各环节职责，确保信息发布准确、及时、安全。二是规范信息发布。严格执行信息发布“三审三校”制度，加强对公开内容的合法性、准确性审核。三是加强动态管理。定期对公开信息进行梳理和检查，确保信息的有效性和准确性。</w:t>
      </w:r>
    </w:p>
    <w:p w14:paraId="74AF1941">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val="en-US" w:eastAsia="zh-CN"/>
          <w14:textFill>
            <w14:solidFill>
              <w14:schemeClr w14:val="tx1"/>
            </w14:solidFill>
          </w14:textFill>
        </w:rPr>
        <w:t>（四）政府信息公开平台建设情况</w:t>
      </w:r>
    </w:p>
    <w:p w14:paraId="154BBF2F">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依托高新区管委会门户网站，持续优化栏目设置，定期更新相关内容，及时发布工作动态、政策解读、科普知识等，拓宽信息公开覆盖面。</w:t>
      </w:r>
    </w:p>
    <w:p w14:paraId="204696F3">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t>（五）监督保障情况</w:t>
      </w:r>
    </w:p>
    <w:p w14:paraId="03A9DEF5">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一是加强组织领导。明确分管领导和责任科室，定期研究部署信息公开工作，解决实际问题。二是组织全局干部职工开展政府信息公开业务培训，提升工作人员的政策水平和业务能力</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三是积极回应社会关切，通过来信来访等形式收集公众意见建议，不断提升改进工作。</w:t>
      </w:r>
    </w:p>
    <w:p w14:paraId="1792889E">
      <w:pPr>
        <w:keepNext w:val="0"/>
        <w:keepLines w:val="0"/>
        <w:pageBreakBefore w:val="0"/>
        <w:widowControl w:val="0"/>
        <w:numPr>
          <w:ilvl w:val="0"/>
          <w:numId w:val="1"/>
        </w:numPr>
        <w:kinsoku/>
        <w:wordWrap/>
        <w:overflowPunct/>
        <w:topLinePunct w:val="0"/>
        <w:autoSpaceDE/>
        <w:autoSpaceDN/>
        <w:bidi w:val="0"/>
        <w:adjustRightInd/>
        <w:snapToGrid/>
        <w:spacing w:after="0" w:line="579" w:lineRule="exact"/>
        <w:ind w:right="0" w:rightChars="0" w:firstLine="641"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主动公开政府信息情况</w:t>
      </w:r>
    </w:p>
    <w:tbl>
      <w:tblPr>
        <w:tblStyle w:val="5"/>
        <w:tblW w:w="5000" w:type="pct"/>
        <w:tblInd w:w="0" w:type="dxa"/>
        <w:tblLayout w:type="autofit"/>
        <w:tblCellMar>
          <w:top w:w="0" w:type="dxa"/>
          <w:left w:w="108" w:type="dxa"/>
          <w:bottom w:w="0" w:type="dxa"/>
          <w:right w:w="108" w:type="dxa"/>
        </w:tblCellMar>
      </w:tblPr>
      <w:tblGrid>
        <w:gridCol w:w="2265"/>
        <w:gridCol w:w="2265"/>
        <w:gridCol w:w="2265"/>
        <w:gridCol w:w="2265"/>
      </w:tblGrid>
      <w:tr w14:paraId="519FDB8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A0BFF87">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第二十条第（一）项</w:t>
            </w:r>
          </w:p>
        </w:tc>
      </w:tr>
      <w:tr w14:paraId="510CB1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DE0B243">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1250" w:type="pct"/>
            <w:tcBorders>
              <w:top w:val="nil"/>
              <w:left w:val="nil"/>
              <w:bottom w:val="single" w:color="auto" w:sz="8" w:space="0"/>
              <w:right w:val="single" w:color="auto" w:sz="8" w:space="0"/>
            </w:tcBorders>
            <w:noWrap w:val="0"/>
            <w:vAlign w:val="center"/>
          </w:tcPr>
          <w:p w14:paraId="27CDEE40">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本年制发件数</w:t>
            </w:r>
          </w:p>
        </w:tc>
        <w:tc>
          <w:tcPr>
            <w:tcW w:w="1250" w:type="pct"/>
            <w:tcBorders>
              <w:top w:val="nil"/>
              <w:left w:val="nil"/>
              <w:bottom w:val="single" w:color="auto" w:sz="8" w:space="0"/>
              <w:right w:val="single" w:color="auto" w:sz="8" w:space="0"/>
            </w:tcBorders>
            <w:noWrap w:val="0"/>
            <w:vAlign w:val="center"/>
          </w:tcPr>
          <w:p w14:paraId="5057B953">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本年废止件数</w:t>
            </w:r>
          </w:p>
        </w:tc>
        <w:tc>
          <w:tcPr>
            <w:tcW w:w="1250" w:type="pct"/>
            <w:tcBorders>
              <w:top w:val="nil"/>
              <w:left w:val="nil"/>
              <w:bottom w:val="single" w:color="auto" w:sz="8" w:space="0"/>
              <w:right w:val="single" w:color="auto" w:sz="8" w:space="0"/>
            </w:tcBorders>
            <w:noWrap w:val="0"/>
            <w:vAlign w:val="center"/>
          </w:tcPr>
          <w:p w14:paraId="562E87F4">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现行有效件数</w:t>
            </w:r>
          </w:p>
        </w:tc>
      </w:tr>
      <w:tr w14:paraId="620A5E0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BD51419">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规章</w:t>
            </w:r>
          </w:p>
        </w:tc>
        <w:tc>
          <w:tcPr>
            <w:tcW w:w="1250" w:type="pct"/>
            <w:tcBorders>
              <w:top w:val="nil"/>
              <w:left w:val="nil"/>
              <w:bottom w:val="single" w:color="auto" w:sz="8" w:space="0"/>
              <w:right w:val="single" w:color="auto" w:sz="8" w:space="0"/>
            </w:tcBorders>
            <w:noWrap w:val="0"/>
            <w:vAlign w:val="center"/>
          </w:tcPr>
          <w:p w14:paraId="7B77ED3F">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6A9D10E5">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53533DB2">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r w14:paraId="069B0A5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61C0D2">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行政规范性文件</w:t>
            </w:r>
          </w:p>
        </w:tc>
        <w:tc>
          <w:tcPr>
            <w:tcW w:w="1250" w:type="pct"/>
            <w:tcBorders>
              <w:top w:val="nil"/>
              <w:left w:val="nil"/>
              <w:bottom w:val="single" w:color="auto" w:sz="8" w:space="0"/>
              <w:right w:val="single" w:color="auto" w:sz="8" w:space="0"/>
            </w:tcBorders>
            <w:noWrap w:val="0"/>
            <w:vAlign w:val="center"/>
          </w:tcPr>
          <w:p w14:paraId="647E41F0">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5DD97E37">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2BE91204">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r w14:paraId="1B5ED1A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587335">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第二十条第（五）项</w:t>
            </w:r>
          </w:p>
        </w:tc>
      </w:tr>
      <w:tr w14:paraId="0543B1F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13E708C">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57356C2">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本年处理决定数量</w:t>
            </w:r>
          </w:p>
        </w:tc>
      </w:tr>
      <w:tr w14:paraId="44D68B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F34CCF1">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A1B4EA4">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970</w:t>
            </w:r>
          </w:p>
        </w:tc>
      </w:tr>
      <w:tr w14:paraId="1D3DBB7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147D90">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第二十条第（六）项</w:t>
            </w:r>
          </w:p>
        </w:tc>
      </w:tr>
      <w:tr w14:paraId="52FCD5F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1092493">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8D316BC">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本年处理决定数量</w:t>
            </w:r>
          </w:p>
        </w:tc>
      </w:tr>
      <w:tr w14:paraId="58086EF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73F3C3E">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F2E825D">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461</w:t>
            </w:r>
          </w:p>
        </w:tc>
      </w:tr>
      <w:tr w14:paraId="419BB19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26DCA95">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323CA1F5">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12</w:t>
            </w:r>
          </w:p>
        </w:tc>
      </w:tr>
      <w:tr w14:paraId="30D0E0A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952C1B">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第二十条第（八）项</w:t>
            </w:r>
          </w:p>
        </w:tc>
      </w:tr>
      <w:tr w14:paraId="3C02959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541F44F">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675695A">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本年收费金额（单位：万元）</w:t>
            </w:r>
          </w:p>
        </w:tc>
      </w:tr>
      <w:tr w14:paraId="0E343F07">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14:paraId="0D9E1204">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3C1EF56">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bl>
    <w:p w14:paraId="7D72AEDA">
      <w:pPr>
        <w:pageBreakBefore w:val="0"/>
        <w:numPr>
          <w:ilvl w:val="0"/>
          <w:numId w:val="1"/>
        </w:numPr>
        <w:kinsoku/>
        <w:wordWrap/>
        <w:overflowPunct/>
        <w:topLinePunct w:val="0"/>
        <w:autoSpaceDE/>
        <w:autoSpaceDN/>
        <w:bidi w:val="0"/>
        <w:spacing w:after="0" w:line="579" w:lineRule="exact"/>
        <w:ind w:left="0" w:leftChars="0" w:right="0" w:rightChars="0" w:firstLine="641"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B3B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64C7B5B6">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79725DC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44B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1404C2E">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4D2BEC58">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28D85F57">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3E0E5649">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B8C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3C89215E">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573409AE">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1A795E55">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772242F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674F413E">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7A03AAB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3F85D13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7AA53DF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7D2D94A3">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7A14DFD2">
            <w:pPr>
              <w:spacing w:line="300" w:lineRule="exact"/>
              <w:rPr>
                <w:rFonts w:ascii="方正仿宋简体" w:eastAsia="方正仿宋简体"/>
                <w:b/>
                <w:sz w:val="21"/>
                <w:szCs w:val="21"/>
              </w:rPr>
            </w:pPr>
          </w:p>
        </w:tc>
      </w:tr>
      <w:tr w14:paraId="03E2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47A6101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6C716DFF">
            <w:pPr>
              <w:widowControl/>
              <w:spacing w:line="300" w:lineRule="exact"/>
              <w:jc w:val="center"/>
              <w:rPr>
                <w:rFonts w:hint="default" w:ascii="方正仿宋简体" w:eastAsia="方正仿宋简体" w:cs="Calibri"/>
                <w:b/>
                <w:sz w:val="21"/>
                <w:szCs w:val="21"/>
                <w:lang w:val="en-US" w:eastAsia="zh-CN" w:bidi="ar"/>
              </w:rPr>
            </w:pPr>
            <w:r>
              <w:rPr>
                <w:rFonts w:hint="eastAsia" w:ascii="方正仿宋简体" w:eastAsia="方正仿宋简体" w:cs="Calibri"/>
                <w:b/>
                <w:sz w:val="21"/>
                <w:szCs w:val="21"/>
                <w:lang w:val="en-US" w:eastAsia="zh-CN" w:bidi="ar"/>
              </w:rPr>
              <w:t>9</w:t>
            </w:r>
          </w:p>
        </w:tc>
        <w:tc>
          <w:tcPr>
            <w:tcW w:w="599" w:type="dxa"/>
            <w:noWrap w:val="0"/>
            <w:tcMar>
              <w:left w:w="57" w:type="dxa"/>
              <w:right w:w="57" w:type="dxa"/>
            </w:tcMar>
            <w:vAlign w:val="center"/>
          </w:tcPr>
          <w:p w14:paraId="0996777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E26FE5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12EC7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5F53983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45F4D32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E4A0A8A">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9</w:t>
            </w:r>
          </w:p>
        </w:tc>
      </w:tr>
      <w:tr w14:paraId="35C2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25EA1C3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3752B33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6634348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92BA2D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36AB4D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545568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0B0B971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F48D5B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AE5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2FD214E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7F2F577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0402A9B8">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14:paraId="1C8D08E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FEA4F4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643700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0506DF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4F1D9F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D411E76">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14:paraId="6D8F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511DA454">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3769B15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7BF6684A">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4</w:t>
            </w:r>
          </w:p>
        </w:tc>
        <w:tc>
          <w:tcPr>
            <w:tcW w:w="599" w:type="dxa"/>
            <w:noWrap w:val="0"/>
            <w:tcMar>
              <w:left w:w="57" w:type="dxa"/>
              <w:right w:w="57" w:type="dxa"/>
            </w:tcMar>
            <w:vAlign w:val="center"/>
          </w:tcPr>
          <w:p w14:paraId="0E442E49">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A5BBDB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B47D9A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57B9C90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54B001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B198FC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4</w:t>
            </w:r>
          </w:p>
        </w:tc>
      </w:tr>
      <w:tr w14:paraId="7F9C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87E93C4">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44F5E78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71724DB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6E1DB6D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CDA8AE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938016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94C0D9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36413D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EFF166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FF0421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5559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8E6E66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C44FB6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BBBF35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79392C7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0A3D21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195FC1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F5D3B9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801EAF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0AB391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AEAFE3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7714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D1B93A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35B85F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A0FB27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62850E1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50CA34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AC3AD0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7A81E0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77CE85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EA33D6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3E454C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1502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27D136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1D4A90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2445AA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3D8A4A9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FB1773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1F8104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009CD9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57DD18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84DC50E">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70D409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5CD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0E72D4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9D47EC5">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076365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6C6BFDA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c>
          <w:tcPr>
            <w:tcW w:w="599" w:type="dxa"/>
            <w:noWrap w:val="0"/>
            <w:tcMar>
              <w:left w:w="57" w:type="dxa"/>
              <w:right w:w="57" w:type="dxa"/>
            </w:tcMar>
            <w:vAlign w:val="center"/>
          </w:tcPr>
          <w:p w14:paraId="573CB5C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279D9A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59019AF1">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597FD45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3AF9EA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E954E6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1</w:t>
            </w:r>
          </w:p>
        </w:tc>
      </w:tr>
      <w:tr w14:paraId="7789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A48D2A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7BCFC0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140503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6243DF3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022887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94822F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AB42AD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225D461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1BAF9E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20E873F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0C5A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C6756E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FF5F21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8A75BE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2C03BC0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1</w:t>
            </w:r>
          </w:p>
        </w:tc>
        <w:tc>
          <w:tcPr>
            <w:tcW w:w="599" w:type="dxa"/>
            <w:noWrap w:val="0"/>
            <w:tcMar>
              <w:left w:w="57" w:type="dxa"/>
              <w:right w:w="57" w:type="dxa"/>
            </w:tcMar>
            <w:vAlign w:val="center"/>
          </w:tcPr>
          <w:p w14:paraId="2AD2442D">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7BBD9A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71287F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673CB8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647012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FF80DF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1</w:t>
            </w:r>
          </w:p>
        </w:tc>
      </w:tr>
      <w:tr w14:paraId="1E3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E5F2304">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332A5B0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BDA47D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43D6101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c>
          <w:tcPr>
            <w:tcW w:w="599" w:type="dxa"/>
            <w:noWrap w:val="0"/>
            <w:tcMar>
              <w:left w:w="57" w:type="dxa"/>
              <w:right w:w="57" w:type="dxa"/>
            </w:tcMar>
            <w:vAlign w:val="center"/>
          </w:tcPr>
          <w:p w14:paraId="6FE8617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33440E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72D17CE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0E9C49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2A5712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64CA6D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r>
      <w:tr w14:paraId="0DB7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6DA5BBD">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21740F5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221EB71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62418964">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center"/>
          </w:tcPr>
          <w:p w14:paraId="136AECCE">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F6EE54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FA6C89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113D7D03">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D50F0A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3C59EF8B">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3C79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1376A7C">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B4D44C8">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7F964DB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32BDF3D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8FD159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321D132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4F7C67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0E74F9B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E06A42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C8C670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749D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2899865">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4F873E2">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CEDAA0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3ADF8D8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A6E8E1A">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5998A5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1EDA6F6">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34AD2C8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3AF331A5">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3CC36D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6BB2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47C07F5">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6D5A81F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2B7660C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5F4D1075">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center"/>
          </w:tcPr>
          <w:p w14:paraId="3567BFD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AA6E44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C76756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E6E439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4EB413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00FA5D1">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14:paraId="55D0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768" w:type="dxa"/>
            <w:vMerge w:val="continue"/>
            <w:noWrap w:val="0"/>
            <w:tcMar>
              <w:left w:w="57" w:type="dxa"/>
              <w:right w:w="57" w:type="dxa"/>
            </w:tcMar>
            <w:vAlign w:val="center"/>
          </w:tcPr>
          <w:p w14:paraId="5ABB98ED">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8727CD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7124C5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05C9015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2D1AA94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5197E5C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C6332B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58E441C">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2F2D27F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4265673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36D4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0319342">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6DE0B37">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0EF518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40B6859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93E3C4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2BEC6B8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319F462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A0D694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E15E277">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127E42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5EFC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BA828D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D476129">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E4FDFD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6B16F06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54D5CDE">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9EBC1A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106507CB">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7A2771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1C7EFD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16AD822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297B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B2DFC0B">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601157A9">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46CB7FDA">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2C044E5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5C05464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6A45575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FD08377">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20F9C04">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19F9AC6E">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00C340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14:paraId="562D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1F92DB5">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1FC7640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623DCF91">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6136F72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c>
          <w:tcPr>
            <w:tcW w:w="599" w:type="dxa"/>
            <w:noWrap w:val="0"/>
            <w:tcMar>
              <w:left w:w="57" w:type="dxa"/>
              <w:right w:w="57" w:type="dxa"/>
            </w:tcMar>
            <w:vAlign w:val="center"/>
          </w:tcPr>
          <w:p w14:paraId="7967131F">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04672E8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0445D97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737C672">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76CE3F55">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EEA229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1</w:t>
            </w:r>
          </w:p>
        </w:tc>
      </w:tr>
      <w:tr w14:paraId="0BC5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17FACFA">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DDF59C9">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1F7B3824">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125F2CF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71F1F73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6065079">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2D0CFED5">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53C8AA6">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05E881E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2C78EE6F">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203B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DE122C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01F4246">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15AE976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005780B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403CA780">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771DE7E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4A72CF01">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7605AF88">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EB7DF1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03EEFB4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14:paraId="2260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01AB0CF">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6F21826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3B6F73F3">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9</w:t>
            </w:r>
          </w:p>
        </w:tc>
        <w:tc>
          <w:tcPr>
            <w:tcW w:w="599" w:type="dxa"/>
            <w:noWrap w:val="0"/>
            <w:tcMar>
              <w:left w:w="57" w:type="dxa"/>
              <w:right w:w="57" w:type="dxa"/>
            </w:tcMar>
            <w:vAlign w:val="center"/>
          </w:tcPr>
          <w:p w14:paraId="2340793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16239A00">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C21F6BC">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42805A2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6AFB9F1D">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6690E6F7">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9</w:t>
            </w:r>
          </w:p>
        </w:tc>
      </w:tr>
      <w:tr w14:paraId="23DA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7DBA2F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5FB3F04A">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14:paraId="184B26D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14:paraId="4B41C602">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14:paraId="64AE77BB">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14:paraId="63046D93">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14:paraId="577F35E8">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14:paraId="7D8D8BB5">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14:paraId="4B547F13">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bookmarkStart w:id="0" w:name="_GoBack"/>
      <w:bookmarkEnd w:id="0"/>
    </w:p>
    <w:p w14:paraId="42E7699C">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35043E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45E64474">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行政复议</w:t>
            </w:r>
          </w:p>
        </w:tc>
        <w:tc>
          <w:tcPr>
            <w:tcW w:w="5922" w:type="dxa"/>
            <w:gridSpan w:val="10"/>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2D198A2F">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行政诉讼</w:t>
            </w:r>
          </w:p>
        </w:tc>
      </w:tr>
      <w:tr w14:paraId="30FB7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0EEDC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结果维持</w:t>
            </w:r>
          </w:p>
        </w:tc>
        <w:tc>
          <w:tcPr>
            <w:tcW w:w="62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372678">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64B4922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纠正</w:t>
            </w:r>
          </w:p>
        </w:tc>
        <w:tc>
          <w:tcPr>
            <w:tcW w:w="60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8284C2">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p w14:paraId="750FF2ED">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tc>
        <w:tc>
          <w:tcPr>
            <w:tcW w:w="59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3DE8F5">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尚未</w:t>
            </w:r>
          </w:p>
          <w:p w14:paraId="49BEF21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审结</w:t>
            </w:r>
          </w:p>
        </w:tc>
        <w:tc>
          <w:tcPr>
            <w:tcW w:w="46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C6F64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c>
          <w:tcPr>
            <w:tcW w:w="3010"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415BBD">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未经复议直接起诉</w:t>
            </w:r>
          </w:p>
        </w:tc>
        <w:tc>
          <w:tcPr>
            <w:tcW w:w="2912"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03F19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复议后起诉</w:t>
            </w:r>
          </w:p>
        </w:tc>
      </w:tr>
      <w:tr w14:paraId="02295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26" w:hRule="atLeast"/>
          <w:jc w:val="center"/>
        </w:trPr>
        <w:tc>
          <w:tcPr>
            <w:tcW w:w="615"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8D3001">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62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C06FFA">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6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AF420A">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59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DEFF57">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46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4D8973">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F35526">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4383C7BE">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64BF7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26FCA66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A32926">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p w14:paraId="2FBCACED">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8E4336">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尚未</w:t>
            </w:r>
          </w:p>
          <w:p w14:paraId="14B011B1">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审结</w:t>
            </w:r>
          </w:p>
        </w:tc>
        <w:tc>
          <w:tcPr>
            <w:tcW w:w="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5E9B5D">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D3DC0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3D3BC991">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维持</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A11BB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3BA399D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E215A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p w14:paraId="6FE4FCF2">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tc>
        <w:tc>
          <w:tcPr>
            <w:tcW w:w="5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AED9A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尚未</w:t>
            </w:r>
          </w:p>
          <w:p w14:paraId="740E9B72">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审结</w:t>
            </w:r>
          </w:p>
        </w:tc>
        <w:tc>
          <w:tcPr>
            <w:tcW w:w="4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7F9BA5">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r>
      <w:tr w14:paraId="43B38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623E70">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Times New Roman"/>
                <w:b/>
                <w:bCs/>
                <w:color w:val="000000" w:themeColor="text1"/>
                <w:sz w:val="21"/>
                <w:szCs w:val="21"/>
                <w:lang w:val="en-US" w:eastAsia="zh-CN"/>
                <w14:textFill>
                  <w14:solidFill>
                    <w14:schemeClr w14:val="tx1"/>
                  </w14:solidFill>
                </w14:textFill>
              </w:rPr>
              <w:t>1</w:t>
            </w:r>
          </w:p>
        </w:tc>
        <w:tc>
          <w:tcPr>
            <w:tcW w:w="6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8AD9D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63994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59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BC9A10">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46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6656D1">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Times New Roman"/>
                <w:b/>
                <w:bCs/>
                <w:color w:val="000000" w:themeColor="text1"/>
                <w:sz w:val="21"/>
                <w:szCs w:val="21"/>
                <w:lang w:val="en-US" w:eastAsia="zh-CN"/>
                <w14:textFill>
                  <w14:solidFill>
                    <w14:schemeClr w14:val="tx1"/>
                  </w14:solidFill>
                </w14:textFill>
              </w:rPr>
              <w:t>1</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91612B">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DE0DF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B83889">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865AEE">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A7391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8CA701">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7C8322">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AEE825">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5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CDB26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4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B20778">
            <w:pPr>
              <w:pageBreakBefore w:val="0"/>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r>
    </w:tbl>
    <w:p w14:paraId="18658608">
      <w:pPr>
        <w:keepNext w:val="0"/>
        <w:keepLines w:val="0"/>
        <w:pageBreakBefore w:val="0"/>
        <w:widowControl w:val="0"/>
        <w:numPr>
          <w:ilvl w:val="0"/>
          <w:numId w:val="2"/>
        </w:numPr>
        <w:kinsoku/>
        <w:wordWrap/>
        <w:overflowPunct/>
        <w:topLinePunct w:val="0"/>
        <w:autoSpaceDE/>
        <w:autoSpaceDN/>
        <w:bidi w:val="0"/>
        <w:adjustRightInd/>
        <w:snapToGrid/>
        <w:spacing w:after="0" w:line="579" w:lineRule="exact"/>
        <w:ind w:right="0" w:rightChars="0" w:firstLine="641"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存在的主要问题及改进情况</w:t>
      </w:r>
    </w:p>
    <w:p w14:paraId="02330714">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针对上年度存在的问题，本年度围绕市场主体和公众需求，进一步细化食品药品安全监管、质量安全监管、知识产权保护等领域的信息公开内容，丰富政策解读形式，提升解读效果。但本年度的内部协同和工作规范性需持续加强。各业务处室在信息产生、审核、报送公开环节的协同效率和信息质量标准有待进一步提高</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w:t>
      </w:r>
    </w:p>
    <w:p w14:paraId="536183B5">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下一步，市场监管局将持续健全工作机制，进一步完善局内政府信息公开工作流程，强化业务培训，压实各环节责任，确保信息公开的及时性、准确性和规范性。</w:t>
      </w:r>
    </w:p>
    <w:p w14:paraId="5529E3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rightChars="0" w:firstLine="480"/>
        <w:textAlignment w:val="auto"/>
        <w:rPr>
          <w:rFonts w:hint="eastAsia" w:ascii="方正黑体简体" w:hAnsi="方正黑体简体" w:eastAsia="方正黑体简体" w:cs="方正黑体简体"/>
          <w:b/>
          <w:bCs/>
          <w:color w:val="000000" w:themeColor="text1"/>
          <w:kern w:val="0"/>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color w:val="000000" w:themeColor="text1"/>
          <w:kern w:val="0"/>
          <w:sz w:val="32"/>
          <w:szCs w:val="32"/>
          <w:lang w:val="en-US" w:eastAsia="zh-CN" w:bidi="ar-SA"/>
          <w14:textFill>
            <w14:solidFill>
              <w14:schemeClr w14:val="tx1"/>
            </w14:solidFill>
          </w14:textFill>
        </w:rPr>
        <w:t>六、其他需要报告的事项</w:t>
      </w:r>
    </w:p>
    <w:p w14:paraId="25A15A1D">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（一） 依据《政府信息公开信息处理费管理办法》收取信息处理费的情况：</w:t>
      </w:r>
    </w:p>
    <w:p w14:paraId="472D8824">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本年度无收取信息处理费情况。</w:t>
      </w:r>
    </w:p>
    <w:p w14:paraId="3E81CDA3">
      <w:pPr>
        <w:numPr>
          <w:ilvl w:val="0"/>
          <w:numId w:val="0"/>
        </w:num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（二）本行政机关落实上级年度政务公开工作要点情况：</w:t>
      </w:r>
    </w:p>
    <w:p w14:paraId="260B0FFF">
      <w:pPr>
        <w:numPr>
          <w:ilvl w:val="0"/>
          <w:numId w:val="0"/>
        </w:numPr>
        <w:spacing w:line="590" w:lineRule="exact"/>
        <w:ind w:right="-11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紧扣市、区两级工作部署要求，对各项任务逐条推进落实、抓实抓细，精准划定责任归属、细化时限管理，逐项攻坚推进、闭环落实，全力保障各项工作任务高标准、高质量圆满收官。</w:t>
      </w:r>
    </w:p>
    <w:p w14:paraId="08B56B6B">
      <w:pPr>
        <w:numPr>
          <w:ilvl w:val="0"/>
          <w:numId w:val="0"/>
        </w:numPr>
        <w:spacing w:line="590" w:lineRule="exact"/>
        <w:ind w:right="-11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三</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r>
        <w:rPr>
          <w:rFonts w:hint="default" w:ascii="方正仿宋简体" w:eastAsia="方正仿宋简体"/>
          <w:b/>
          <w:color w:val="000000" w:themeColor="text1"/>
          <w:sz w:val="32"/>
          <w:szCs w:val="32"/>
          <w:lang w:val="en-US" w:eastAsia="zh-CN"/>
          <w14:textFill>
            <w14:solidFill>
              <w14:schemeClr w14:val="tx1"/>
            </w14:solidFill>
          </w14:textFill>
        </w:rPr>
        <w:t>人大代表建议和政协提案办理结果公开情况：</w:t>
      </w:r>
    </w:p>
    <w:p w14:paraId="0035EB51">
      <w:pPr>
        <w:numPr>
          <w:ilvl w:val="0"/>
          <w:numId w:val="0"/>
        </w:numPr>
        <w:spacing w:line="590" w:lineRule="exact"/>
        <w:ind w:right="-11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5</w:t>
      </w:r>
      <w:r>
        <w:rPr>
          <w:rFonts w:hint="default" w:ascii="方正仿宋简体" w:eastAsia="方正仿宋简体"/>
          <w:b/>
          <w:color w:val="000000" w:themeColor="text1"/>
          <w:sz w:val="32"/>
          <w:szCs w:val="32"/>
          <w:lang w:val="en-US" w:eastAsia="zh-CN"/>
          <w14:textFill>
            <w14:solidFill>
              <w14:schemeClr w14:val="tx1"/>
            </w14:solidFill>
          </w14:textFill>
        </w:rPr>
        <w:t>年我部门未收到人大代表建议和政协提案。</w:t>
      </w:r>
    </w:p>
    <w:p w14:paraId="654358B0">
      <w:pPr>
        <w:spacing w:line="590" w:lineRule="exact"/>
        <w:ind w:right="-110" w:rightChars="-50" w:firstLine="643" w:firstLineChars="200"/>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eastAsia="zh-CN"/>
          <w14:textFill>
            <w14:solidFill>
              <w14:schemeClr w14:val="tx1"/>
            </w14:solidFill>
          </w14:textFill>
        </w:rPr>
        <w:t>四</w:t>
      </w: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）其他有关文件专门要求通过政府信息公开工作年度报告予以报告的事项：无。</w:t>
      </w:r>
    </w:p>
    <w:sectPr>
      <w:pgSz w:w="11906" w:h="16838"/>
      <w:pgMar w:top="2098" w:right="1474" w:bottom="1984"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ABAF4-80E4-431F-BEF0-D79DB08BD2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C84019-92A5-42AA-AB4B-1FF66BD9E07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E49136A1-0047-4256-9F6B-F7F45967A5D6}"/>
  </w:font>
  <w:font w:name="方正小标宋简体">
    <w:panose1 w:val="03000509000000000000"/>
    <w:charset w:val="86"/>
    <w:family w:val="auto"/>
    <w:pitch w:val="default"/>
    <w:sig w:usb0="00000001" w:usb1="080E0000" w:usb2="00000000" w:usb3="00000000" w:csb0="00040000" w:csb1="00000000"/>
    <w:embedRegular r:id="rId4" w:fontKey="{F4416911-D9FA-4E7E-AD1B-74B6594EBE1A}"/>
  </w:font>
  <w:font w:name="方正仿宋简体">
    <w:panose1 w:val="03000509000000000000"/>
    <w:charset w:val="86"/>
    <w:family w:val="auto"/>
    <w:pitch w:val="default"/>
    <w:sig w:usb0="00000001" w:usb1="080E0000" w:usb2="00000000" w:usb3="00000000" w:csb0="00040000" w:csb1="00000000"/>
    <w:embedRegular r:id="rId5" w:fontKey="{E9530514-A70F-4E8C-94B0-0312DD66679D}"/>
  </w:font>
  <w:font w:name="方正黑体简体">
    <w:panose1 w:val="02000000000000000000"/>
    <w:charset w:val="86"/>
    <w:family w:val="auto"/>
    <w:pitch w:val="default"/>
    <w:sig w:usb0="A00002BF" w:usb1="184F6CFA" w:usb2="00000012" w:usb3="00000000" w:csb0="00040001" w:csb1="00000000"/>
    <w:embedRegular r:id="rId6" w:fontKey="{2D633F8B-98A1-4DA7-BFAB-8D570B237C33}"/>
  </w:font>
  <w:font w:name="方正楷体简体">
    <w:panose1 w:val="02000000000000000000"/>
    <w:charset w:val="86"/>
    <w:family w:val="auto"/>
    <w:pitch w:val="default"/>
    <w:sig w:usb0="A00002BF" w:usb1="184F6CFA" w:usb2="00000012" w:usb3="00000000" w:csb0="00040001" w:csb1="00000000"/>
    <w:embedRegular r:id="rId7" w:fontKey="{F44A0694-1D8D-4026-A322-9140B7CD12A0}"/>
  </w:font>
  <w:font w:name="WPSEMBED92">
    <w:panose1 w:val="02010609030101010101"/>
    <w:charset w:val="86"/>
    <w:family w:val="auto"/>
    <w:pitch w:val="default"/>
    <w:sig w:usb0="00000001" w:usb1="080E0000" w:usb2="00000000" w:usb3="00000000" w:csb0="00040000" w:csb1="00000000"/>
  </w:font>
  <w:font w:name="WPSEMBED93">
    <w:panose1 w:val="02000000000000000000"/>
    <w:charset w:val="86"/>
    <w:family w:val="auto"/>
    <w:pitch w:val="default"/>
    <w:sig w:usb0="A00002BF" w:usb1="184F6CFA" w:usb2="00000012" w:usb3="00000000" w:csb0="00040001" w:csb1="00000000"/>
  </w:font>
  <w:font w:name="WPSEMBED94">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embedRegular r:id="rId8" w:fontKey="{0AD0A695-EC28-4CAA-BA2C-2AD29EB0D65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18110"/>
    <w:multiLevelType w:val="singleLevel"/>
    <w:tmpl w:val="9B418110"/>
    <w:lvl w:ilvl="0" w:tentative="0">
      <w:start w:val="5"/>
      <w:numFmt w:val="chineseCounting"/>
      <w:suff w:val="nothing"/>
      <w:lvlText w:val="%1、"/>
      <w:lvlJc w:val="left"/>
      <w:rPr>
        <w:rFonts w:hint="eastAsia"/>
      </w:rPr>
    </w:lvl>
  </w:abstractNum>
  <w:abstractNum w:abstractNumId="1">
    <w:nsid w:val="50747B8B"/>
    <w:multiLevelType w:val="singleLevel"/>
    <w:tmpl w:val="50747B8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zY5NjViZjAxNDk3NDFiYTY2ZTJjYzI3NGEzOTcifQ=="/>
    <w:docVar w:name="KSO_WPS_MARK_KEY" w:val="ed774d36-4193-4b68-84f6-94804e980410"/>
  </w:docVars>
  <w:rsids>
    <w:rsidRoot w:val="00D31D50"/>
    <w:rsid w:val="00323B43"/>
    <w:rsid w:val="0036550C"/>
    <w:rsid w:val="003D37D8"/>
    <w:rsid w:val="00426133"/>
    <w:rsid w:val="004358AB"/>
    <w:rsid w:val="007F207A"/>
    <w:rsid w:val="008B7726"/>
    <w:rsid w:val="00D31D50"/>
    <w:rsid w:val="00F936FA"/>
    <w:rsid w:val="01EE5E5A"/>
    <w:rsid w:val="0285439E"/>
    <w:rsid w:val="02A740F9"/>
    <w:rsid w:val="06A87CC4"/>
    <w:rsid w:val="0750555C"/>
    <w:rsid w:val="078018DD"/>
    <w:rsid w:val="09472849"/>
    <w:rsid w:val="0A611208"/>
    <w:rsid w:val="0C4D4B85"/>
    <w:rsid w:val="101E4E80"/>
    <w:rsid w:val="10EB7FAC"/>
    <w:rsid w:val="15EB460B"/>
    <w:rsid w:val="1676618E"/>
    <w:rsid w:val="168D3BF7"/>
    <w:rsid w:val="1936188F"/>
    <w:rsid w:val="1A836C81"/>
    <w:rsid w:val="1D8C2B12"/>
    <w:rsid w:val="1EA60A95"/>
    <w:rsid w:val="2135038B"/>
    <w:rsid w:val="21576086"/>
    <w:rsid w:val="23446CEF"/>
    <w:rsid w:val="240E46A0"/>
    <w:rsid w:val="26DC3C24"/>
    <w:rsid w:val="27080AA1"/>
    <w:rsid w:val="2EA42069"/>
    <w:rsid w:val="325236B8"/>
    <w:rsid w:val="33415C9F"/>
    <w:rsid w:val="35BE50CF"/>
    <w:rsid w:val="36344B03"/>
    <w:rsid w:val="3B5D25C2"/>
    <w:rsid w:val="3B886AEE"/>
    <w:rsid w:val="3D780C4B"/>
    <w:rsid w:val="3E291EBA"/>
    <w:rsid w:val="3FFFEFEE"/>
    <w:rsid w:val="41F32E32"/>
    <w:rsid w:val="444103CB"/>
    <w:rsid w:val="46FA63E1"/>
    <w:rsid w:val="47F23E15"/>
    <w:rsid w:val="49D32A17"/>
    <w:rsid w:val="4F5B2940"/>
    <w:rsid w:val="50282444"/>
    <w:rsid w:val="50EB1D36"/>
    <w:rsid w:val="51485345"/>
    <w:rsid w:val="53493671"/>
    <w:rsid w:val="547D0AA7"/>
    <w:rsid w:val="57AB7EC8"/>
    <w:rsid w:val="58F11F95"/>
    <w:rsid w:val="58F20EBB"/>
    <w:rsid w:val="5A69790D"/>
    <w:rsid w:val="5C324A26"/>
    <w:rsid w:val="5CCC49D7"/>
    <w:rsid w:val="5F115494"/>
    <w:rsid w:val="610D1A04"/>
    <w:rsid w:val="63174AFE"/>
    <w:rsid w:val="637D586B"/>
    <w:rsid w:val="66A24E6A"/>
    <w:rsid w:val="67336047"/>
    <w:rsid w:val="684B3F62"/>
    <w:rsid w:val="68B84332"/>
    <w:rsid w:val="69753753"/>
    <w:rsid w:val="6C0E40BA"/>
    <w:rsid w:val="6EC651C1"/>
    <w:rsid w:val="7099229E"/>
    <w:rsid w:val="70E60EF4"/>
    <w:rsid w:val="71C31235"/>
    <w:rsid w:val="72D20BDB"/>
    <w:rsid w:val="745021F7"/>
    <w:rsid w:val="7653275B"/>
    <w:rsid w:val="77DD2867"/>
    <w:rsid w:val="78152CF9"/>
    <w:rsid w:val="787535DD"/>
    <w:rsid w:val="791C3217"/>
    <w:rsid w:val="7BBA1196"/>
    <w:rsid w:val="7F6B2445"/>
    <w:rsid w:val="FFDFD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customStyle="1" w:styleId="8">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公开数据</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政务公开年报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行政执法公示</c:v>
                </c:pt>
                <c:pt idx="1">
                  <c:v>“双随机，一公开”</c:v>
                </c:pt>
                <c:pt idx="2">
                  <c:v>优化营商环境</c:v>
                </c:pt>
                <c:pt idx="3">
                  <c:v>包容普惠创新
公开信息类型</c:v>
                </c:pt>
                <c:pt idx="4">
                  <c:v>其它</c:v>
                </c:pt>
              </c:strCache>
            </c:strRef>
          </c:cat>
          <c:val>
            <c:numRef>
              <c:f>Sheet1!$B$2:$B$6</c:f>
              <c:numCache>
                <c:formatCode>General</c:formatCode>
                <c:ptCount val="5"/>
                <c:pt idx="0">
                  <c:v>140</c:v>
                </c:pt>
                <c:pt idx="1">
                  <c:v>8</c:v>
                </c:pt>
                <c:pt idx="2">
                  <c:v>10</c:v>
                </c:pt>
                <c:pt idx="3">
                  <c:v>6</c:v>
                </c:pt>
                <c:pt idx="4">
                  <c:v>51</c:v>
                </c:pt>
              </c:numCache>
            </c:numRef>
          </c:val>
        </c:ser>
        <c:dLbls>
          <c:showLegendKey val="0"/>
          <c:showVal val="1"/>
          <c:showCatName val="0"/>
          <c:showSerName val="0"/>
          <c:showPercent val="0"/>
          <c:showBubbleSize val="0"/>
        </c:dLbls>
        <c:gapWidth val="75"/>
        <c:overlap val="40"/>
        <c:axId val="264660783"/>
        <c:axId val="123146831"/>
      </c:barChart>
      <c:catAx>
        <c:axId val="264660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146831"/>
        <c:crosses val="autoZero"/>
        <c:auto val="1"/>
        <c:lblAlgn val="ctr"/>
        <c:lblOffset val="100"/>
        <c:noMultiLvlLbl val="0"/>
      </c:catAx>
      <c:valAx>
        <c:axId val="12314683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660783"/>
        <c:crosses val="autoZero"/>
        <c:crossBetween val="between"/>
      </c:valAx>
      <c:spPr>
        <a:noFill/>
        <a:ln>
          <a:noFill/>
        </a:ln>
        <a:effectLst/>
      </c:spPr>
    </c:plotArea>
    <c:plotVisOnly val="1"/>
    <c:dispBlanksAs val="gap"/>
    <c:showDLblsOverMax val="0"/>
    <c:extLst>
      <c:ext uri="{0b15fc19-7d7d-44ad-8c2d-2c3a37ce22c3}">
        <chartProps xmlns="https://web.wps.cn/et/2018/main" chartId="{0a5e3e39-7be2-4243-990c-70e6815f58d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2392</Words>
  <Characters>2477</Characters>
  <Lines>1</Lines>
  <Paragraphs>1</Paragraphs>
  <TotalTime>0</TotalTime>
  <ScaleCrop>false</ScaleCrop>
  <LinksUpToDate>false</LinksUpToDate>
  <CharactersWithSpaces>2480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糖炒栗子 ້໌ᮨ</cp:lastModifiedBy>
  <dcterms:modified xsi:type="dcterms:W3CDTF">2026-01-29T03:27:51Z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487201059_btnclosed</vt:lpwstr>
  </property>
  <property fmtid="{D5CDD505-2E9C-101B-9397-08002B2CF9AE}" pid="4" name="ICV">
    <vt:lpwstr>7FF22823A3FA454EACD51214D79FC4D4_13</vt:lpwstr>
  </property>
  <property fmtid="{D5CDD505-2E9C-101B-9397-08002B2CF9AE}" pid="5" name="KSOTemplateDocerSaveRecord">
    <vt:lpwstr>eyJoZGlkIjoiMDIzZTdhYmMzYmQ4MWZlMzhhOWQzOWZhOWJiZDRmZmIiLCJ1c2VySWQiOiIxMTQ4NjcwNDAzIn0=</vt:lpwstr>
  </property>
</Properties>
</file>