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Start w:id="0" w:name="_Toc24724724"/>
      <w:r>
        <w:rPr>
          <w:rFonts w:hint="eastAsia" w:ascii="方正小标宋_GBK" w:hAnsi="方正小标宋_GBK" w:eastAsia="方正小标宋_GBK"/>
          <w:b w:val="0"/>
          <w:bCs w:val="0"/>
          <w:sz w:val="30"/>
        </w:rPr>
        <w:t>卫生健康领域基层政务公开标准目录</w:t>
      </w:r>
      <w:bookmarkEnd w:id="0"/>
    </w:p>
    <w:bookmarkEnd w:id="1"/>
    <w:tbl>
      <w:tblPr>
        <w:tblStyle w:val="3"/>
        <w:tblW w:w="15622" w:type="dxa"/>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188"/>
        <w:gridCol w:w="4140"/>
        <w:gridCol w:w="1800"/>
        <w:gridCol w:w="1440"/>
        <w:gridCol w:w="1154"/>
        <w:gridCol w:w="1164"/>
        <w:gridCol w:w="512"/>
        <w:gridCol w:w="530"/>
        <w:gridCol w:w="510"/>
        <w:gridCol w:w="686"/>
        <w:gridCol w:w="34"/>
        <w:gridCol w:w="540"/>
        <w:gridCol w:w="630"/>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cantSplit/>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08"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41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54"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164"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042"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96"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3"/>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8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4140" w:type="dxa"/>
            <w:vMerge w:val="continue"/>
            <w:noWrap w:val="0"/>
            <w:vAlign w:val="center"/>
          </w:tcPr>
          <w:p>
            <w:pPr>
              <w:widowControl/>
              <w:jc w:val="left"/>
              <w:rPr>
                <w:rFonts w:ascii="黑体" w:hAnsi="宋体" w:eastAsia="黑体" w:cs="宋体"/>
                <w:color w:val="000000"/>
                <w:kern w:val="0"/>
                <w:sz w:val="22"/>
              </w:rPr>
            </w:pPr>
          </w:p>
        </w:tc>
        <w:tc>
          <w:tcPr>
            <w:tcW w:w="1800"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color w:val="000000"/>
                <w:kern w:val="0"/>
                <w:sz w:val="22"/>
              </w:rPr>
            </w:pPr>
          </w:p>
        </w:tc>
        <w:tc>
          <w:tcPr>
            <w:tcW w:w="1154" w:type="dxa"/>
            <w:vMerge w:val="continue"/>
            <w:noWrap w:val="0"/>
            <w:vAlign w:val="center"/>
          </w:tcPr>
          <w:p>
            <w:pPr>
              <w:widowControl/>
              <w:jc w:val="left"/>
              <w:rPr>
                <w:rFonts w:ascii="黑体" w:hAnsi="宋体" w:eastAsia="黑体" w:cs="宋体"/>
                <w:color w:val="000000"/>
                <w:kern w:val="0"/>
                <w:sz w:val="22"/>
              </w:rPr>
            </w:pPr>
          </w:p>
        </w:tc>
        <w:tc>
          <w:tcPr>
            <w:tcW w:w="1164" w:type="dxa"/>
            <w:vMerge w:val="continue"/>
            <w:noWrap w:val="0"/>
            <w:vAlign w:val="center"/>
          </w:tcPr>
          <w:p>
            <w:pPr>
              <w:widowControl/>
              <w:jc w:val="left"/>
              <w:rPr>
                <w:rFonts w:ascii="黑体" w:hAnsi="宋体" w:eastAsia="黑体" w:cs="宋体"/>
                <w:kern w:val="0"/>
                <w:sz w:val="22"/>
              </w:rPr>
            </w:pPr>
          </w:p>
        </w:tc>
        <w:tc>
          <w:tcPr>
            <w:tcW w:w="512"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3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1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720" w:type="dxa"/>
            <w:vMerge w:val="restart"/>
            <w:noWrap w:val="0"/>
            <w:vAlign w:val="center"/>
          </w:tcPr>
          <w:p>
            <w:pPr>
              <w:jc w:val="center"/>
              <w:rPr>
                <w:rFonts w:hint="eastAsia" w:ascii="仿宋_GB2312" w:hAnsi="宋体" w:eastAsia="仿宋_GB2312" w:cs="宋体"/>
                <w:bCs/>
                <w:color w:val="000000"/>
                <w:sz w:val="18"/>
                <w:szCs w:val="18"/>
              </w:rPr>
            </w:pPr>
            <w:r>
              <w:rPr>
                <w:rFonts w:hint="eastAsia" w:ascii="仿宋_GB2312" w:hAnsi="宋体" w:eastAsia="仿宋_GB2312"/>
                <w:bCs/>
                <w:color w:val="000000"/>
                <w:sz w:val="18"/>
                <w:szCs w:val="18"/>
              </w:rPr>
              <w:t>行政许可类事项</w:t>
            </w:r>
          </w:p>
        </w:tc>
        <w:tc>
          <w:tcPr>
            <w:tcW w:w="1188"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母婴保健技术服务机构执业许可（包括计划生育技术服务机构执业许可）（权限内）</w:t>
            </w:r>
          </w:p>
        </w:tc>
        <w:tc>
          <w:tcPr>
            <w:tcW w:w="41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1.法律法规和政策文件</w:t>
            </w:r>
            <w:r>
              <w:rPr>
                <w:rFonts w:hint="eastAsia" w:ascii="仿宋_GB2312" w:hAnsi="宋体" w:eastAsia="仿宋_GB2312" w:cs="宋体"/>
                <w:color w:val="000000"/>
                <w:sz w:val="18"/>
                <w:szCs w:val="18"/>
              </w:rPr>
              <w:t>；</w:t>
            </w:r>
          </w:p>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r>
              <w:rPr>
                <w:rFonts w:hint="eastAsia" w:ascii="仿宋_GB2312" w:hAnsi="宋体" w:eastAsia="仿宋_GB2312"/>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4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noWrap w:val="0"/>
            <w:vAlign w:val="center"/>
          </w:tcPr>
          <w:p>
            <w:pPr>
              <w:jc w:val="center"/>
              <w:rPr>
                <w:rFonts w:hint="eastAsia" w:ascii="仿宋_GB2312" w:hAnsi="宋体" w:eastAsia="仿宋_GB2312" w:cs="宋体"/>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53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720" w:type="dxa"/>
            <w:vMerge w:val="continue"/>
            <w:noWrap w:val="0"/>
            <w:vAlign w:val="center"/>
          </w:tcPr>
          <w:p>
            <w:pPr>
              <w:rPr>
                <w:rFonts w:hint="eastAsia" w:ascii="仿宋_GB2312" w:hAnsi="宋体" w:eastAsia="仿宋_GB2312" w:cs="宋体"/>
                <w:bCs/>
                <w:color w:val="000000"/>
                <w:sz w:val="18"/>
                <w:szCs w:val="18"/>
              </w:rPr>
            </w:pPr>
          </w:p>
        </w:tc>
        <w:tc>
          <w:tcPr>
            <w:tcW w:w="1188" w:type="dxa"/>
            <w:vMerge w:val="continue"/>
            <w:noWrap w:val="0"/>
            <w:vAlign w:val="center"/>
          </w:tcPr>
          <w:p>
            <w:pPr>
              <w:rPr>
                <w:rFonts w:hint="eastAsia" w:ascii="仿宋_GB2312" w:hAnsi="宋体" w:eastAsia="仿宋_GB2312" w:cs="宋体"/>
                <w:color w:val="000000"/>
                <w:sz w:val="18"/>
                <w:szCs w:val="18"/>
              </w:rPr>
            </w:pPr>
          </w:p>
        </w:tc>
        <w:tc>
          <w:tcPr>
            <w:tcW w:w="41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结果信息——母婴保健技术服务执业许可证信息</w:t>
            </w:r>
          </w:p>
        </w:tc>
        <w:tc>
          <w:tcPr>
            <w:tcW w:w="1800" w:type="dxa"/>
            <w:vMerge w:val="continue"/>
            <w:noWrap w:val="0"/>
            <w:vAlign w:val="center"/>
          </w:tcPr>
          <w:p>
            <w:pPr>
              <w:rPr>
                <w:rFonts w:hint="eastAsia" w:ascii="仿宋_GB2312" w:hAnsi="宋体" w:eastAsia="仿宋_GB2312" w:cs="宋体"/>
                <w:color w:val="000000"/>
                <w:sz w:val="18"/>
                <w:szCs w:val="18"/>
              </w:rPr>
            </w:pPr>
          </w:p>
        </w:tc>
        <w:tc>
          <w:tcPr>
            <w:tcW w:w="14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noWrap w:val="0"/>
            <w:vAlign w:val="center"/>
          </w:tcPr>
          <w:p>
            <w:pPr>
              <w:jc w:val="center"/>
              <w:rPr>
                <w:rFonts w:hint="eastAsia"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53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母婴保健服务人员资格认定（包括计划生育技术服务人员合格证）（权限内）</w:t>
            </w:r>
          </w:p>
        </w:tc>
        <w:tc>
          <w:tcPr>
            <w:tcW w:w="41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p>
            <w:pPr>
              <w:rPr>
                <w:rFonts w:ascii="仿宋_GB2312" w:hAnsi="宋体" w:eastAsia="仿宋_GB2312"/>
                <w:color w:val="000000"/>
                <w:sz w:val="18"/>
                <w:szCs w:val="18"/>
              </w:rPr>
            </w:pPr>
          </w:p>
        </w:tc>
        <w:tc>
          <w:tcPr>
            <w:tcW w:w="18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14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noWrap w:val="0"/>
            <w:vAlign w:val="center"/>
          </w:tcPr>
          <w:p>
            <w:pPr>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41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noWrap w:val="0"/>
            <w:vAlign w:val="center"/>
          </w:tcPr>
          <w:p>
            <w:pPr>
              <w:rPr>
                <w:rFonts w:ascii="仿宋_GB2312" w:hAnsi="宋体" w:eastAsia="仿宋_GB2312"/>
                <w:color w:val="000000"/>
                <w:sz w:val="18"/>
                <w:szCs w:val="18"/>
              </w:rPr>
            </w:pPr>
          </w:p>
        </w:tc>
        <w:tc>
          <w:tcPr>
            <w:tcW w:w="14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noWrap w:val="0"/>
            <w:vAlign w:val="center"/>
          </w:tcPr>
          <w:p>
            <w:pPr>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医疗机构设置审批（含港澳台，外商独资除外）（权限内）</w:t>
            </w:r>
          </w:p>
        </w:tc>
        <w:tc>
          <w:tcPr>
            <w:tcW w:w="41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《行政许可法》、《中医药法》、《医疗机构管理条例》、《国务院关于取消和下放50项行政审批项目等事项的决定》、《医疗机构管理条例实施细则》、《医疗美容服务管理办法》</w:t>
            </w:r>
          </w:p>
        </w:tc>
        <w:tc>
          <w:tcPr>
            <w:tcW w:w="14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noWrap w:val="0"/>
            <w:vAlign w:val="center"/>
          </w:tcPr>
          <w:p>
            <w:pPr>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41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结果信息——设置审批结果信息</w:t>
            </w:r>
          </w:p>
        </w:tc>
        <w:tc>
          <w:tcPr>
            <w:tcW w:w="1800" w:type="dxa"/>
            <w:vMerge w:val="continue"/>
            <w:noWrap w:val="0"/>
            <w:vAlign w:val="center"/>
          </w:tcPr>
          <w:p>
            <w:pPr>
              <w:rPr>
                <w:rFonts w:ascii="仿宋_GB2312" w:hAnsi="宋体" w:eastAsia="仿宋_GB2312"/>
                <w:color w:val="000000"/>
                <w:sz w:val="18"/>
                <w:szCs w:val="18"/>
              </w:rPr>
            </w:pPr>
          </w:p>
        </w:tc>
        <w:tc>
          <w:tcPr>
            <w:tcW w:w="14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noWrap w:val="0"/>
            <w:vAlign w:val="center"/>
          </w:tcPr>
          <w:p>
            <w:pPr>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医疗机构执业登记（人体器官移植除外）（权限内）</w:t>
            </w:r>
          </w:p>
        </w:tc>
        <w:tc>
          <w:tcPr>
            <w:tcW w:w="41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《行政许可法》、《医疗机构管理条例》、《医疗机构管理条例实施细则》、《医疗美容服务管理办法》</w:t>
            </w:r>
          </w:p>
        </w:tc>
        <w:tc>
          <w:tcPr>
            <w:tcW w:w="14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noWrap w:val="0"/>
            <w:vAlign w:val="center"/>
          </w:tcPr>
          <w:p>
            <w:pPr>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41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结果信息——医疗机构名称、地址、诊疗科目、法定代表人、主要负责人、登记号、医疗机构执业许可证有效期限、审批机关</w:t>
            </w:r>
          </w:p>
        </w:tc>
        <w:tc>
          <w:tcPr>
            <w:tcW w:w="1800" w:type="dxa"/>
            <w:vMerge w:val="continue"/>
            <w:noWrap w:val="0"/>
            <w:vAlign w:val="center"/>
          </w:tcPr>
          <w:p>
            <w:pPr>
              <w:rPr>
                <w:rFonts w:ascii="仿宋_GB2312" w:hAnsi="宋体" w:eastAsia="仿宋_GB2312"/>
                <w:color w:val="000000"/>
                <w:sz w:val="18"/>
                <w:szCs w:val="18"/>
              </w:rPr>
            </w:pPr>
          </w:p>
        </w:tc>
        <w:tc>
          <w:tcPr>
            <w:tcW w:w="14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noWrap w:val="0"/>
            <w:vAlign w:val="center"/>
          </w:tcPr>
          <w:p>
            <w:pPr>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01 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医师执业注册（权限内）</w:t>
            </w:r>
          </w:p>
        </w:tc>
        <w:tc>
          <w:tcPr>
            <w:tcW w:w="41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《行政许可法》、《执业医师法》、《医师执业注册管理办法》</w:t>
            </w:r>
          </w:p>
        </w:tc>
        <w:tc>
          <w:tcPr>
            <w:tcW w:w="14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noWrap w:val="0"/>
            <w:vAlign w:val="center"/>
          </w:tcPr>
          <w:p>
            <w:pPr>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41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noWrap w:val="0"/>
            <w:vAlign w:val="center"/>
          </w:tcPr>
          <w:p>
            <w:pPr>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护士执业注册（权限内）</w:t>
            </w:r>
          </w:p>
        </w:tc>
        <w:tc>
          <w:tcPr>
            <w:tcW w:w="4140" w:type="dxa"/>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44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noWrap w:val="0"/>
            <w:vAlign w:val="center"/>
          </w:tcPr>
          <w:p>
            <w:pPr>
              <w:widowControl/>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宋体" w:hAnsi="宋体" w:cs="宋体"/>
                <w:color w:val="000000"/>
                <w:kern w:val="0"/>
                <w:sz w:val="18"/>
                <w:szCs w:val="18"/>
              </w:rPr>
            </w:pPr>
          </w:p>
        </w:tc>
        <w:tc>
          <w:tcPr>
            <w:tcW w:w="720" w:type="dxa"/>
            <w:vMerge w:val="continue"/>
            <w:noWrap w:val="0"/>
            <w:vAlign w:val="center"/>
          </w:tcPr>
          <w:p>
            <w:pPr>
              <w:widowControl/>
              <w:jc w:val="left"/>
              <w:rPr>
                <w:rFonts w:ascii="宋体" w:hAnsi="宋体" w:cs="宋体"/>
                <w:bCs/>
                <w:color w:val="000000"/>
                <w:kern w:val="0"/>
                <w:sz w:val="15"/>
                <w:szCs w:val="15"/>
              </w:rPr>
            </w:pPr>
          </w:p>
        </w:tc>
        <w:tc>
          <w:tcPr>
            <w:tcW w:w="1188" w:type="dxa"/>
            <w:vMerge w:val="continue"/>
            <w:noWrap w:val="0"/>
            <w:vAlign w:val="center"/>
          </w:tcPr>
          <w:p>
            <w:pPr>
              <w:widowControl/>
              <w:jc w:val="left"/>
              <w:rPr>
                <w:rFonts w:ascii="宋体" w:hAnsi="宋体" w:cs="宋体"/>
                <w:color w:val="000000"/>
                <w:kern w:val="0"/>
                <w:sz w:val="15"/>
                <w:szCs w:val="15"/>
              </w:rPr>
            </w:pPr>
          </w:p>
        </w:tc>
        <w:tc>
          <w:tcPr>
            <w:tcW w:w="4140" w:type="dxa"/>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noWrap w:val="0"/>
            <w:vAlign w:val="center"/>
          </w:tcPr>
          <w:p>
            <w:pPr>
              <w:widowControl/>
              <w:jc w:val="left"/>
              <w:rPr>
                <w:rFonts w:ascii="仿宋_GB2312" w:hAnsi="宋体" w:eastAsia="仿宋_GB2312"/>
                <w:color w:val="000000"/>
                <w:sz w:val="18"/>
                <w:szCs w:val="18"/>
              </w:rPr>
            </w:pPr>
          </w:p>
        </w:tc>
        <w:tc>
          <w:tcPr>
            <w:tcW w:w="144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noWrap w:val="0"/>
            <w:vAlign w:val="center"/>
          </w:tcPr>
          <w:p>
            <w:pPr>
              <w:widowControl/>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饮用水供水单位卫生许可（权限内）</w:t>
            </w:r>
          </w:p>
        </w:tc>
        <w:tc>
          <w:tcPr>
            <w:tcW w:w="4140" w:type="dxa"/>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《行政许可法》、《传染病防治法》、《传染病防治法实施办法》、《国务院对确需保留的行政审批项目设定行政许可的决定》、《生活饮用水卫生监督管理办法》</w:t>
            </w:r>
          </w:p>
        </w:tc>
        <w:tc>
          <w:tcPr>
            <w:tcW w:w="144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noWrap w:val="0"/>
            <w:vAlign w:val="center"/>
          </w:tcPr>
          <w:p>
            <w:pPr>
              <w:widowControl/>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仿宋_GB2312" w:hAnsi="宋体" w:eastAsia="仿宋_GB2312"/>
                <w:color w:val="000000"/>
                <w:sz w:val="18"/>
                <w:szCs w:val="18"/>
              </w:rPr>
            </w:pPr>
          </w:p>
        </w:tc>
        <w:tc>
          <w:tcPr>
            <w:tcW w:w="720" w:type="dxa"/>
            <w:vMerge w:val="continue"/>
            <w:noWrap w:val="0"/>
            <w:vAlign w:val="center"/>
          </w:tcPr>
          <w:p>
            <w:pPr>
              <w:widowControl/>
              <w:jc w:val="left"/>
              <w:rPr>
                <w:rFonts w:ascii="仿宋_GB2312" w:hAnsi="宋体" w:eastAsia="仿宋_GB2312"/>
                <w:color w:val="000000"/>
                <w:sz w:val="18"/>
                <w:szCs w:val="18"/>
              </w:rPr>
            </w:pPr>
          </w:p>
        </w:tc>
        <w:tc>
          <w:tcPr>
            <w:tcW w:w="1188" w:type="dxa"/>
            <w:vMerge w:val="continue"/>
            <w:noWrap w:val="0"/>
            <w:vAlign w:val="center"/>
          </w:tcPr>
          <w:p>
            <w:pPr>
              <w:widowControl/>
              <w:jc w:val="left"/>
              <w:rPr>
                <w:rFonts w:ascii="仿宋_GB2312" w:hAnsi="宋体" w:eastAsia="仿宋_GB2312"/>
                <w:color w:val="000000"/>
                <w:sz w:val="18"/>
                <w:szCs w:val="18"/>
              </w:rPr>
            </w:pPr>
          </w:p>
        </w:tc>
        <w:tc>
          <w:tcPr>
            <w:tcW w:w="4140" w:type="dxa"/>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noWrap w:val="0"/>
            <w:vAlign w:val="center"/>
          </w:tcPr>
          <w:p>
            <w:pPr>
              <w:widowControl/>
              <w:jc w:val="left"/>
              <w:rPr>
                <w:rFonts w:ascii="仿宋_GB2312" w:hAnsi="宋体" w:eastAsia="仿宋_GB2312"/>
                <w:color w:val="000000"/>
                <w:sz w:val="18"/>
                <w:szCs w:val="18"/>
              </w:rPr>
            </w:pPr>
          </w:p>
        </w:tc>
        <w:tc>
          <w:tcPr>
            <w:tcW w:w="144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noWrap w:val="0"/>
            <w:vAlign w:val="center"/>
          </w:tcPr>
          <w:p>
            <w:pPr>
              <w:widowControl/>
              <w:jc w:val="center"/>
              <w:rPr>
                <w:rFonts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41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vMerge w:val="restart"/>
            <w:noWrap w:val="0"/>
            <w:vAlign w:val="center"/>
          </w:tcPr>
          <w:p>
            <w:pPr>
              <w:widowControl/>
              <w:jc w:val="cente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发展软环境保障局</w:t>
            </w:r>
          </w:p>
          <w:p>
            <w:pPr>
              <w:widowControl/>
              <w:jc w:val="cente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发展软环境保障局</w:t>
            </w:r>
          </w:p>
        </w:tc>
        <w:tc>
          <w:tcPr>
            <w:tcW w:w="1164"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41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noWrap w:val="0"/>
            <w:vAlign w:val="center"/>
          </w:tcPr>
          <w:p>
            <w:pPr>
              <w:widowControl/>
              <w:rPr>
                <w:rFonts w:ascii="仿宋_GB2312" w:hAnsi="宋体" w:eastAsia="仿宋_GB2312"/>
                <w:color w:val="000000"/>
                <w:sz w:val="18"/>
                <w:szCs w:val="18"/>
              </w:rPr>
            </w:pP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vMerge w:val="continue"/>
            <w:noWrap w:val="0"/>
            <w:vAlign w:val="center"/>
          </w:tcPr>
          <w:p>
            <w:pPr>
              <w:widowControl/>
              <w:rPr>
                <w:rFonts w:hint="eastAsia" w:ascii="仿宋_GB2312" w:hAnsi="宋体" w:eastAsia="仿宋_GB2312"/>
                <w:color w:val="000000"/>
                <w:sz w:val="18"/>
                <w:szCs w:val="18"/>
              </w:rPr>
            </w:pPr>
          </w:p>
        </w:tc>
        <w:tc>
          <w:tcPr>
            <w:tcW w:w="1164" w:type="dxa"/>
            <w:vMerge w:val="continue"/>
            <w:noWrap w:val="0"/>
            <w:vAlign w:val="center"/>
          </w:tcPr>
          <w:p>
            <w:pPr>
              <w:widowControl/>
              <w:rPr>
                <w:rFonts w:hint="eastAsia" w:ascii="仿宋_GB2312" w:hAnsi="宋体" w:eastAsia="仿宋_GB2312"/>
                <w:color w:val="000000"/>
                <w:sz w:val="18"/>
                <w:szCs w:val="18"/>
              </w:rPr>
            </w:pPr>
          </w:p>
        </w:tc>
        <w:tc>
          <w:tcPr>
            <w:tcW w:w="512" w:type="dxa"/>
            <w:noWrap w:val="0"/>
            <w:vAlign w:val="center"/>
          </w:tcPr>
          <w:p>
            <w:pPr>
              <w:widowControl/>
              <w:rPr>
                <w:rFonts w:hint="eastAsia" w:ascii="仿宋_GB2312" w:hAnsi="宋体" w:eastAsia="仿宋_GB2312"/>
                <w:color w:val="000000"/>
                <w:sz w:val="18"/>
                <w:szCs w:val="18"/>
              </w:rPr>
            </w:pPr>
          </w:p>
        </w:tc>
        <w:tc>
          <w:tcPr>
            <w:tcW w:w="530" w:type="dxa"/>
            <w:noWrap w:val="0"/>
            <w:vAlign w:val="center"/>
          </w:tcPr>
          <w:p>
            <w:pPr>
              <w:widowControl/>
              <w:rPr>
                <w:rFonts w:hint="eastAsia" w:ascii="仿宋_GB2312" w:hAnsi="宋体" w:eastAsia="仿宋_GB2312"/>
                <w:color w:val="000000"/>
                <w:sz w:val="18"/>
                <w:szCs w:val="18"/>
              </w:rPr>
            </w:pPr>
          </w:p>
        </w:tc>
        <w:tc>
          <w:tcPr>
            <w:tcW w:w="510" w:type="dxa"/>
            <w:noWrap w:val="0"/>
            <w:vAlign w:val="center"/>
          </w:tcPr>
          <w:p>
            <w:pPr>
              <w:widowControl/>
              <w:rPr>
                <w:rFonts w:hint="eastAsia" w:ascii="仿宋_GB2312" w:hAnsi="宋体" w:eastAsia="仿宋_GB2312"/>
                <w:color w:val="000000"/>
                <w:sz w:val="18"/>
                <w:szCs w:val="18"/>
              </w:rPr>
            </w:pPr>
          </w:p>
        </w:tc>
        <w:tc>
          <w:tcPr>
            <w:tcW w:w="720" w:type="dxa"/>
            <w:gridSpan w:val="2"/>
            <w:noWrap w:val="0"/>
            <w:vAlign w:val="center"/>
          </w:tcPr>
          <w:p>
            <w:pPr>
              <w:widowControl/>
              <w:rPr>
                <w:rFonts w:hint="eastAsia" w:ascii="仿宋_GB2312" w:hAnsi="宋体" w:eastAsia="仿宋_GB2312"/>
                <w:color w:val="000000"/>
                <w:sz w:val="18"/>
                <w:szCs w:val="18"/>
              </w:rPr>
            </w:pPr>
          </w:p>
        </w:tc>
        <w:tc>
          <w:tcPr>
            <w:tcW w:w="540" w:type="dxa"/>
            <w:noWrap w:val="0"/>
            <w:vAlign w:val="center"/>
          </w:tcPr>
          <w:p>
            <w:pPr>
              <w:widowControl/>
              <w:rPr>
                <w:rFonts w:hint="eastAsia" w:ascii="仿宋_GB2312" w:hAnsi="宋体" w:eastAsia="仿宋_GB2312"/>
                <w:color w:val="000000"/>
                <w:sz w:val="18"/>
                <w:szCs w:val="18"/>
              </w:rPr>
            </w:pPr>
          </w:p>
        </w:tc>
        <w:tc>
          <w:tcPr>
            <w:tcW w:w="664" w:type="dxa"/>
            <w:gridSpan w:val="2"/>
            <w:noWrap w:val="0"/>
            <w:vAlign w:val="center"/>
          </w:tcPr>
          <w:p>
            <w:pPr>
              <w:widowControl/>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41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vMerge w:val="restart"/>
            <w:noWrap w:val="0"/>
            <w:vAlign w:val="center"/>
          </w:tcPr>
          <w:p>
            <w:pPr>
              <w:widowControl/>
              <w:jc w:val="cente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发展软环境保障局</w:t>
            </w:r>
          </w:p>
          <w:p>
            <w:pPr>
              <w:widowControl/>
              <w:jc w:val="cente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发展软环境保障局</w:t>
            </w:r>
          </w:p>
        </w:tc>
        <w:tc>
          <w:tcPr>
            <w:tcW w:w="1164"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41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结果信息——放射诊疗许可证信息</w:t>
            </w:r>
          </w:p>
        </w:tc>
        <w:tc>
          <w:tcPr>
            <w:tcW w:w="1800" w:type="dxa"/>
            <w:vMerge w:val="continue"/>
            <w:noWrap w:val="0"/>
            <w:vAlign w:val="center"/>
          </w:tcPr>
          <w:p>
            <w:pPr>
              <w:widowControl/>
              <w:rPr>
                <w:rFonts w:ascii="仿宋_GB2312" w:hAnsi="宋体" w:eastAsia="仿宋_GB2312"/>
                <w:color w:val="000000"/>
                <w:sz w:val="18"/>
                <w:szCs w:val="18"/>
              </w:rPr>
            </w:pP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vMerge w:val="continue"/>
            <w:noWrap w:val="0"/>
            <w:vAlign w:val="center"/>
          </w:tcPr>
          <w:p>
            <w:pPr>
              <w:widowControl/>
              <w:rPr>
                <w:rFonts w:hint="eastAsia" w:ascii="仿宋_GB2312" w:hAnsi="宋体" w:eastAsia="仿宋_GB2312"/>
                <w:color w:val="000000"/>
                <w:sz w:val="18"/>
                <w:szCs w:val="18"/>
              </w:rPr>
            </w:pPr>
          </w:p>
        </w:tc>
        <w:tc>
          <w:tcPr>
            <w:tcW w:w="1164" w:type="dxa"/>
            <w:vMerge w:val="continue"/>
            <w:noWrap w:val="0"/>
            <w:vAlign w:val="center"/>
          </w:tcPr>
          <w:p>
            <w:pPr>
              <w:widowControl/>
              <w:rPr>
                <w:rFonts w:hint="eastAsia" w:ascii="仿宋_GB2312" w:hAnsi="宋体" w:eastAsia="仿宋_GB2312"/>
                <w:color w:val="000000"/>
                <w:sz w:val="18"/>
                <w:szCs w:val="18"/>
              </w:rPr>
            </w:pP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乡村医生执业注册（包括乡村医生执业再注册）</w:t>
            </w:r>
          </w:p>
        </w:tc>
        <w:tc>
          <w:tcPr>
            <w:tcW w:w="41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vMerge w:val="restart"/>
            <w:noWrap w:val="0"/>
            <w:vAlign w:val="center"/>
          </w:tcPr>
          <w:p>
            <w:pPr>
              <w:widowControl/>
              <w:jc w:val="cente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发展软环境保障局</w:t>
            </w:r>
          </w:p>
          <w:p>
            <w:pPr>
              <w:widowControl/>
              <w:jc w:val="cente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发展软环境保障局</w:t>
            </w:r>
          </w:p>
        </w:tc>
        <w:tc>
          <w:tcPr>
            <w:tcW w:w="1164"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41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noWrap w:val="0"/>
            <w:vAlign w:val="center"/>
          </w:tcPr>
          <w:p>
            <w:pPr>
              <w:widowControl/>
              <w:rPr>
                <w:rFonts w:ascii="仿宋_GB2312" w:hAnsi="宋体" w:eastAsia="仿宋_GB2312"/>
                <w:color w:val="000000"/>
                <w:sz w:val="18"/>
                <w:szCs w:val="18"/>
              </w:rPr>
            </w:pP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vMerge w:val="continue"/>
            <w:noWrap w:val="0"/>
            <w:vAlign w:val="center"/>
          </w:tcPr>
          <w:p>
            <w:pPr>
              <w:widowControl/>
              <w:rPr>
                <w:rFonts w:hint="eastAsia" w:ascii="仿宋_GB2312" w:hAnsi="宋体" w:eastAsia="仿宋_GB2312"/>
                <w:color w:val="000000"/>
                <w:sz w:val="18"/>
                <w:szCs w:val="18"/>
              </w:rPr>
            </w:pPr>
          </w:p>
        </w:tc>
        <w:tc>
          <w:tcPr>
            <w:tcW w:w="1164" w:type="dxa"/>
            <w:vMerge w:val="continue"/>
            <w:noWrap w:val="0"/>
            <w:vAlign w:val="center"/>
          </w:tcPr>
          <w:p>
            <w:pPr>
              <w:widowControl/>
              <w:rPr>
                <w:rFonts w:hint="eastAsia" w:ascii="仿宋_GB2312" w:hAnsi="宋体" w:eastAsia="仿宋_GB2312"/>
                <w:color w:val="000000"/>
                <w:sz w:val="18"/>
                <w:szCs w:val="18"/>
              </w:rPr>
            </w:pP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对不符合规定条件的医疗机构擅自从事精神障碍诊断、治疗的处罚</w:t>
            </w:r>
          </w:p>
        </w:tc>
        <w:tc>
          <w:tcPr>
            <w:tcW w:w="41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《行政处罚法》、《精神卫生法》、《卫生行政处罚程序》</w:t>
            </w:r>
          </w:p>
        </w:tc>
        <w:tc>
          <w:tcPr>
            <w:tcW w:w="1440"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vMerge w:val="restart"/>
            <w:noWrap w:val="0"/>
            <w:vAlign w:val="center"/>
          </w:tcPr>
          <w:p>
            <w:pPr>
              <w:widowControl/>
              <w:jc w:val="cente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发展软环境保障局</w:t>
            </w:r>
          </w:p>
          <w:p>
            <w:pPr>
              <w:widowControl/>
              <w:jc w:val="center"/>
              <w:rPr>
                <w:rFonts w:hint="eastAsia" w:ascii="仿宋_GB2312" w:hAnsi="仿宋" w:eastAsia="仿宋_GB2312" w:cs="宋体"/>
                <w:color w:val="000000"/>
                <w:sz w:val="18"/>
                <w:szCs w:val="18"/>
                <w:lang w:eastAsia="zh-CN"/>
              </w:rPr>
            </w:pPr>
          </w:p>
        </w:tc>
        <w:tc>
          <w:tcPr>
            <w:tcW w:w="1164"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41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noWrap w:val="0"/>
            <w:vAlign w:val="center"/>
          </w:tcPr>
          <w:p>
            <w:pPr>
              <w:widowControl/>
              <w:rPr>
                <w:rFonts w:ascii="仿宋_GB2312" w:hAnsi="宋体" w:eastAsia="仿宋_GB2312"/>
                <w:color w:val="000000"/>
                <w:sz w:val="18"/>
                <w:szCs w:val="18"/>
              </w:rPr>
            </w:pPr>
          </w:p>
        </w:tc>
        <w:tc>
          <w:tcPr>
            <w:tcW w:w="1440" w:type="dxa"/>
            <w:vMerge w:val="continue"/>
            <w:noWrap w:val="0"/>
            <w:vAlign w:val="center"/>
          </w:tcPr>
          <w:p>
            <w:pPr>
              <w:widowControl/>
              <w:rPr>
                <w:rFonts w:hint="eastAsia" w:ascii="仿宋_GB2312" w:hAnsi="宋体" w:eastAsia="仿宋_GB2312"/>
                <w:color w:val="000000"/>
                <w:sz w:val="18"/>
                <w:szCs w:val="18"/>
              </w:rPr>
            </w:pPr>
          </w:p>
        </w:tc>
        <w:tc>
          <w:tcPr>
            <w:tcW w:w="1154" w:type="dxa"/>
            <w:vMerge w:val="continue"/>
            <w:noWrap w:val="0"/>
            <w:vAlign w:val="center"/>
          </w:tcPr>
          <w:p>
            <w:pPr>
              <w:widowControl/>
              <w:rPr>
                <w:rFonts w:hint="eastAsia" w:ascii="仿宋_GB2312" w:hAnsi="宋体" w:eastAsia="仿宋_GB2312"/>
                <w:color w:val="000000"/>
                <w:sz w:val="18"/>
                <w:szCs w:val="18"/>
              </w:rPr>
            </w:pPr>
          </w:p>
        </w:tc>
        <w:tc>
          <w:tcPr>
            <w:tcW w:w="1164"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512" w:type="dxa"/>
            <w:noWrap w:val="0"/>
            <w:vAlign w:val="center"/>
          </w:tcPr>
          <w:p>
            <w:pPr>
              <w:widowControl/>
              <w:jc w:val="center"/>
              <w:rPr>
                <w:rFonts w:ascii="仿宋_GB2312" w:hAnsi="宋体" w:eastAsia="仿宋_GB2312"/>
                <w:color w:val="000000"/>
                <w:sz w:val="18"/>
                <w:szCs w:val="18"/>
              </w:rPr>
            </w:pP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41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noWrap w:val="0"/>
            <w:vAlign w:val="center"/>
          </w:tcPr>
          <w:p>
            <w:pPr>
              <w:widowControl/>
              <w:rPr>
                <w:rFonts w:ascii="仿宋_GB2312" w:hAnsi="宋体" w:eastAsia="仿宋_GB2312"/>
                <w:color w:val="000000"/>
                <w:sz w:val="18"/>
                <w:szCs w:val="18"/>
              </w:rPr>
            </w:pP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vMerge w:val="continue"/>
            <w:noWrap w:val="0"/>
            <w:vAlign w:val="center"/>
          </w:tcPr>
          <w:p>
            <w:pPr>
              <w:widowControl/>
              <w:rPr>
                <w:rFonts w:hint="eastAsia" w:ascii="仿宋_GB2312" w:hAnsi="宋体" w:eastAsia="仿宋_GB2312"/>
                <w:color w:val="000000"/>
                <w:sz w:val="18"/>
                <w:szCs w:val="18"/>
              </w:rPr>
            </w:pPr>
          </w:p>
        </w:tc>
        <w:tc>
          <w:tcPr>
            <w:tcW w:w="1164"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对医疗机构及其工作人员拒绝对送诊的疑似精神障碍患者作出诊断及对依照《精神卫生法》第三十条第二款规定实施住院治疗的患者未及时进行检查评估或者未根据评估结果作出处理的处罚</w:t>
            </w:r>
          </w:p>
        </w:tc>
        <w:tc>
          <w:tcPr>
            <w:tcW w:w="41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《行政处罚法》、《精神卫生法》、《卫生行政处罚程序》</w:t>
            </w:r>
          </w:p>
        </w:tc>
        <w:tc>
          <w:tcPr>
            <w:tcW w:w="1440"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154"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仿宋" w:eastAsia="仿宋_GB2312" w:cs="宋体"/>
                <w:color w:val="000000"/>
                <w:sz w:val="18"/>
                <w:szCs w:val="18"/>
                <w:lang w:eastAsia="zh-CN"/>
              </w:rPr>
              <w:t>发展软环境保障局</w:t>
            </w:r>
          </w:p>
        </w:tc>
        <w:tc>
          <w:tcPr>
            <w:tcW w:w="1164"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41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noWrap w:val="0"/>
            <w:vAlign w:val="center"/>
          </w:tcPr>
          <w:p>
            <w:pPr>
              <w:widowControl/>
              <w:rPr>
                <w:rFonts w:ascii="仿宋_GB2312" w:hAnsi="宋体" w:eastAsia="仿宋_GB2312"/>
                <w:color w:val="000000"/>
                <w:sz w:val="18"/>
                <w:szCs w:val="18"/>
              </w:rPr>
            </w:pPr>
          </w:p>
        </w:tc>
        <w:tc>
          <w:tcPr>
            <w:tcW w:w="1440" w:type="dxa"/>
            <w:vMerge w:val="continue"/>
            <w:noWrap w:val="0"/>
            <w:vAlign w:val="center"/>
          </w:tcPr>
          <w:p>
            <w:pPr>
              <w:widowControl/>
              <w:rPr>
                <w:rFonts w:hint="eastAsia" w:ascii="仿宋_GB2312" w:hAnsi="宋体" w:eastAsia="仿宋_GB2312"/>
                <w:color w:val="000000"/>
                <w:sz w:val="18"/>
                <w:szCs w:val="18"/>
              </w:rPr>
            </w:pPr>
          </w:p>
        </w:tc>
        <w:tc>
          <w:tcPr>
            <w:tcW w:w="1154" w:type="dxa"/>
            <w:vMerge w:val="continue"/>
            <w:noWrap w:val="0"/>
            <w:vAlign w:val="center"/>
          </w:tcPr>
          <w:p>
            <w:pPr>
              <w:widowControl/>
              <w:rPr>
                <w:rFonts w:hint="eastAsia" w:ascii="仿宋_GB2312" w:hAnsi="宋体" w:eastAsia="仿宋_GB2312"/>
                <w:color w:val="000000"/>
                <w:sz w:val="18"/>
                <w:szCs w:val="18"/>
              </w:rPr>
            </w:pPr>
          </w:p>
        </w:tc>
        <w:tc>
          <w:tcPr>
            <w:tcW w:w="1164"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512" w:type="dxa"/>
            <w:noWrap w:val="0"/>
            <w:vAlign w:val="center"/>
          </w:tcPr>
          <w:p>
            <w:pPr>
              <w:widowControl/>
              <w:jc w:val="center"/>
              <w:rPr>
                <w:rFonts w:ascii="仿宋_GB2312" w:hAnsi="宋体" w:eastAsia="仿宋_GB2312"/>
                <w:color w:val="000000"/>
                <w:sz w:val="18"/>
                <w:szCs w:val="18"/>
              </w:rPr>
            </w:pP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41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noWrap w:val="0"/>
            <w:vAlign w:val="center"/>
          </w:tcPr>
          <w:p>
            <w:pPr>
              <w:widowControl/>
              <w:rPr>
                <w:rFonts w:ascii="仿宋_GB2312" w:hAnsi="宋体" w:eastAsia="仿宋_GB2312"/>
                <w:color w:val="000000"/>
                <w:sz w:val="18"/>
                <w:szCs w:val="18"/>
              </w:rPr>
            </w:pP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154" w:type="dxa"/>
            <w:vMerge w:val="continue"/>
            <w:noWrap w:val="0"/>
            <w:vAlign w:val="center"/>
          </w:tcPr>
          <w:p>
            <w:pPr>
              <w:widowControl/>
              <w:rPr>
                <w:rFonts w:hint="eastAsia" w:ascii="仿宋_GB2312" w:hAnsi="宋体" w:eastAsia="仿宋_GB2312"/>
                <w:color w:val="000000"/>
                <w:sz w:val="18"/>
                <w:szCs w:val="18"/>
              </w:rPr>
            </w:pPr>
          </w:p>
        </w:tc>
        <w:tc>
          <w:tcPr>
            <w:tcW w:w="1164"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管委会网站</w:t>
            </w:r>
            <w:r>
              <w:rPr>
                <w:rFonts w:hint="eastAsia" w:ascii="仿宋_GB2312" w:hAnsi="宋体" w:eastAsia="仿宋_GB2312"/>
                <w:color w:val="000000"/>
                <w:sz w:val="18"/>
                <w:szCs w:val="18"/>
              </w:rPr>
              <w:t xml:space="preserve">     </w:t>
            </w:r>
          </w:p>
        </w:tc>
        <w:tc>
          <w:tcPr>
            <w:tcW w:w="512"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3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145A2"/>
    <w:rsid w:val="3A81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2020-09-09T06:27:00Z</dcterms:created>
  <dc:creator>Administrator</dc:creator>
  <cp:lastModifiedBy>Administrator</cp:lastModifiedBy>
  <dcterms:modified xsi:type="dcterms:W3CDTF">2020-09-09T06:27:59Z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